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2"/>
          <w:szCs w:val="22"/>
        </w:rPr>
      </w:pPr>
      <w:r>
        <w:rPr>
          <w:b/>
          <w:sz w:val="22"/>
          <w:szCs w:val="22"/>
        </w:rPr>
        <w:t xml:space="preserve">МУНИЦИПАЛЬНОЕ ОБРАЗОВАНИЕ </w:t>
      </w:r>
      <w:r>
        <w:rPr>
          <w:b/>
          <w:sz w:val="22"/>
          <w:szCs w:val="22"/>
          <w:lang w:val="ru-RU"/>
        </w:rPr>
        <w:t>УСТЬ</w:t>
      </w:r>
      <w:r>
        <w:rPr>
          <w:rFonts w:hint="default"/>
          <w:b/>
          <w:sz w:val="22"/>
          <w:szCs w:val="22"/>
          <w:lang w:val="ru-RU"/>
        </w:rPr>
        <w:t>-ЧИЖАПСКОЕ</w:t>
      </w:r>
      <w:r>
        <w:rPr>
          <w:b/>
          <w:sz w:val="22"/>
          <w:szCs w:val="22"/>
        </w:rPr>
        <w:t>СЕЛЬСКОЕ ПОСЕЛЕНИЕ</w:t>
      </w:r>
    </w:p>
    <w:p>
      <w:pPr>
        <w:rPr>
          <w:b/>
          <w:sz w:val="22"/>
          <w:szCs w:val="22"/>
        </w:rPr>
      </w:pPr>
      <w:r>
        <w:rPr>
          <w:b/>
          <w:sz w:val="22"/>
          <w:szCs w:val="22"/>
        </w:rPr>
        <w:t xml:space="preserve">                                                   КАРГАСОКСКИЙ РАЙОН</w:t>
      </w:r>
    </w:p>
    <w:p>
      <w:pPr>
        <w:rPr>
          <w:b/>
          <w:sz w:val="22"/>
          <w:szCs w:val="22"/>
        </w:rPr>
      </w:pPr>
      <w:r>
        <w:rPr>
          <w:b/>
          <w:sz w:val="22"/>
          <w:szCs w:val="22"/>
        </w:rPr>
        <w:t xml:space="preserve">                                                       ТОМСКАЯ ОБЛАСТЬ</w:t>
      </w:r>
    </w:p>
    <w:p>
      <w:pPr>
        <w:rPr>
          <w:b/>
          <w:sz w:val="22"/>
          <w:szCs w:val="22"/>
        </w:rPr>
      </w:pPr>
    </w:p>
    <w:p>
      <w:pPr>
        <w:rPr>
          <w:b/>
          <w:sz w:val="22"/>
          <w:szCs w:val="22"/>
        </w:rPr>
      </w:pPr>
      <w:r>
        <w:rPr>
          <w:b/>
          <w:sz w:val="22"/>
          <w:szCs w:val="22"/>
        </w:rPr>
        <w:t xml:space="preserve">                               </w:t>
      </w:r>
    </w:p>
    <w:p>
      <w:pPr>
        <w:rPr>
          <w:b/>
          <w:sz w:val="22"/>
          <w:szCs w:val="22"/>
        </w:rPr>
      </w:pPr>
      <w:r>
        <w:rPr>
          <w:b/>
          <w:sz w:val="22"/>
          <w:szCs w:val="22"/>
        </w:rPr>
        <w:t xml:space="preserve">                               МУНИЦИПАЛЬНОЕ КАЗЕННОЕ УЧРЕЖДЕНИЕ</w:t>
      </w:r>
    </w:p>
    <w:p>
      <w:pPr>
        <w:rPr>
          <w:b/>
        </w:rPr>
      </w:pPr>
    </w:p>
    <w:p>
      <w:pPr>
        <w:rPr>
          <w:b/>
        </w:rPr>
      </w:pPr>
      <w:r>
        <w:rPr>
          <w:b/>
        </w:rPr>
        <w:t xml:space="preserve">        «АДМИНИСТРАЦИЯ </w:t>
      </w:r>
      <w:r>
        <w:rPr>
          <w:b/>
          <w:lang w:val="ru-RU"/>
        </w:rPr>
        <w:t>УСТЬ</w:t>
      </w:r>
      <w:r>
        <w:rPr>
          <w:rFonts w:hint="default"/>
          <w:b/>
          <w:lang w:val="ru-RU"/>
        </w:rPr>
        <w:t>-ЧИЖАПСКОГО</w:t>
      </w:r>
      <w:r>
        <w:rPr>
          <w:b/>
        </w:rPr>
        <w:t xml:space="preserve"> СЕЛЬСКОГО ПОСЕЛЕНИЯ»</w:t>
      </w:r>
    </w:p>
    <w:p>
      <w:pPr>
        <w:rPr>
          <w:b/>
        </w:rPr>
      </w:pPr>
    </w:p>
    <w:p>
      <w:pPr>
        <w:outlineLvl w:val="0"/>
        <w:rPr>
          <w:b/>
        </w:rPr>
      </w:pPr>
      <w:r>
        <w:rPr>
          <w:b/>
        </w:rPr>
        <w:t xml:space="preserve">                                                   ПОСТАНОВЛЕНИЕ</w:t>
      </w:r>
    </w:p>
    <w:p/>
    <w:p>
      <w:pPr>
        <w:rPr>
          <w:rFonts w:hint="default"/>
          <w:lang w:val="ru-RU"/>
        </w:rPr>
      </w:pPr>
      <w:r>
        <w:rPr>
          <w:rFonts w:hint="default"/>
          <w:lang w:val="ru-RU"/>
        </w:rPr>
        <w:t>10</w:t>
      </w:r>
      <w:r>
        <w:t xml:space="preserve">.08.2022                                                                                                                    № </w:t>
      </w:r>
      <w:r>
        <w:rPr>
          <w:rFonts w:hint="default"/>
          <w:lang w:val="ru-RU"/>
        </w:rPr>
        <w:t xml:space="preserve">39а </w:t>
      </w:r>
    </w:p>
    <w:p/>
    <w:p>
      <w:pPr>
        <w:rPr>
          <w:rFonts w:hint="default"/>
          <w:lang w:val="ru-RU"/>
        </w:rPr>
      </w:pPr>
      <w:r>
        <w:rPr>
          <w:rFonts w:hint="default"/>
          <w:lang w:val="ru-RU"/>
        </w:rPr>
        <w:t>с.Старая Березовка</w:t>
      </w:r>
    </w:p>
    <w:p>
      <w:pPr>
        <w:pStyle w:val="2"/>
        <w:rPr>
          <w:b w:val="0"/>
          <w:color w:val="auto"/>
        </w:rPr>
      </w:pPr>
      <w:r>
        <w:rPr>
          <w:b w:val="0"/>
          <w:color w:val="auto"/>
        </w:rPr>
        <w:t xml:space="preserve">Об утверждении 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b w:val="0"/>
          <w:color w:val="auto"/>
          <w:lang w:val="ru-RU"/>
        </w:rPr>
        <w:t>Усть-Чижапское</w:t>
      </w:r>
      <w:r>
        <w:rPr>
          <w:b w:val="0"/>
          <w:color w:val="auto"/>
        </w:rPr>
        <w:t xml:space="preserve"> сельское поселение  на 2022-2026 годы</w:t>
      </w:r>
    </w:p>
    <w:p/>
    <w:p>
      <w:pPr>
        <w:ind w:firstLine="838"/>
        <w:jc w:val="both"/>
      </w:pPr>
      <w:r>
        <w:t xml:space="preserve">В соответствии со </w:t>
      </w:r>
      <w:r>
        <w:fldChar w:fldCharType="begin"/>
      </w:r>
      <w:r>
        <w:instrText xml:space="preserve"> HYPERLINK "http://municipal.garant.ru/document?id=86367&amp;sub=14" </w:instrText>
      </w:r>
      <w:r>
        <w:fldChar w:fldCharType="separate"/>
      </w:r>
      <w:r>
        <w:rPr>
          <w:rStyle w:val="8"/>
          <w:rFonts w:cs="Times New Roman CYR"/>
          <w:b w:val="0"/>
        </w:rPr>
        <w:t>статьей 14</w:t>
      </w:r>
      <w:r>
        <w:rPr>
          <w:rStyle w:val="8"/>
          <w:rFonts w:cs="Times New Roman CYR"/>
          <w:b w:val="0"/>
        </w:rPr>
        <w:fldChar w:fldCharType="end"/>
      </w:r>
      <w:r>
        <w:t xml:space="preserve"> Федерального закона от 06 октября 2003 № 131-ФЗ "Об общих принципах организации местного самоуправления в Российской Федерации", </w:t>
      </w:r>
      <w:r>
        <w:fldChar w:fldCharType="begin"/>
      </w:r>
      <w:r>
        <w:instrText xml:space="preserve"> HYPERLINK "http://municipal.garant.ru/document?id=12054854&amp;sub=0" </w:instrText>
      </w:r>
      <w:r>
        <w:fldChar w:fldCharType="separate"/>
      </w:r>
      <w:r>
        <w:rPr>
          <w:rStyle w:val="8"/>
          <w:rFonts w:cs="Times New Roman CYR"/>
          <w:b w:val="0"/>
        </w:rPr>
        <w:t>Федеральным законом</w:t>
      </w:r>
      <w:r>
        <w:rPr>
          <w:rStyle w:val="8"/>
          <w:rFonts w:cs="Times New Roman CYR"/>
          <w:b w:val="0"/>
        </w:rPr>
        <w:fldChar w:fldCharType="end"/>
      </w:r>
      <w:r>
        <w:t xml:space="preserve"> от 24 июля 2007 № 209-ФЗ "О развитии малого и среднего предпринимательства в Российской Федерации", в целях реализации полномочий по созданию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bCs/>
          <w:lang w:val="ru-RU"/>
        </w:rPr>
        <w:t>Усть-Чижапское</w:t>
      </w:r>
      <w:r>
        <w:t xml:space="preserve"> сельское поселение, руководствуясь Уставом муниципального образования </w:t>
      </w:r>
      <w:r>
        <w:rPr>
          <w:lang w:val="ru-RU"/>
        </w:rPr>
        <w:t>Усть-Чижапское</w:t>
      </w:r>
      <w:r>
        <w:t xml:space="preserve"> сельское поселение, </w:t>
      </w:r>
    </w:p>
    <w:p>
      <w:pPr>
        <w:jc w:val="both"/>
      </w:pPr>
    </w:p>
    <w:p>
      <w:pPr>
        <w:jc w:val="both"/>
      </w:pPr>
      <w:r>
        <w:t xml:space="preserve">Администрация </w:t>
      </w:r>
      <w:r>
        <w:rPr>
          <w:lang w:val="ru-RU"/>
        </w:rPr>
        <w:t>Усть-Чижапского</w:t>
      </w:r>
      <w:r>
        <w:t xml:space="preserve"> сельского поселения  ПОСТАНОВЛЯЕТ:</w:t>
      </w:r>
    </w:p>
    <w:p>
      <w:pPr>
        <w:ind w:firstLine="838"/>
        <w:jc w:val="both"/>
      </w:pPr>
    </w:p>
    <w:p>
      <w:pPr>
        <w:ind w:firstLine="838"/>
        <w:jc w:val="both"/>
      </w:pPr>
      <w:r>
        <w:t xml:space="preserve">1. Утвердить муниципальную программу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lang w:val="ru-RU"/>
        </w:rPr>
        <w:t>Усть-Чижапское</w:t>
      </w:r>
      <w:r>
        <w:t xml:space="preserve"> сельское поселение на 2022-2026 годы» согласно приложению.</w:t>
      </w:r>
    </w:p>
    <w:p>
      <w:pPr>
        <w:jc w:val="both"/>
      </w:pPr>
      <w:r>
        <w:t xml:space="preserve">2.Обнародовать настоящее постановление в установленном Уставом муниципального образования </w:t>
      </w:r>
      <w:r>
        <w:rPr>
          <w:lang w:val="ru-RU"/>
        </w:rPr>
        <w:t>Усть-Чижапское</w:t>
      </w:r>
      <w:r>
        <w:t xml:space="preserve"> сельское поселение  порядке и разместить на официальном сайте администрации </w:t>
      </w:r>
      <w:r>
        <w:rPr>
          <w:bCs/>
          <w:lang w:val="ru-RU"/>
        </w:rPr>
        <w:t>Усть-Чижапского</w:t>
      </w:r>
      <w:r>
        <w:t xml:space="preserve"> сельского поселения в сети Интернет. </w:t>
      </w:r>
    </w:p>
    <w:p>
      <w:pPr>
        <w:tabs>
          <w:tab w:val="left" w:pos="-4395"/>
          <w:tab w:val="left" w:pos="0"/>
        </w:tabs>
        <w:jc w:val="both"/>
        <w:rPr>
          <w:i/>
          <w:iCs/>
          <w:u w:val="single"/>
        </w:rPr>
      </w:pPr>
      <w:r>
        <w:t xml:space="preserve">3. Настоящее постановление вступает в силу со дня официального обнародования. </w:t>
      </w:r>
    </w:p>
    <w:p>
      <w:pPr>
        <w:tabs>
          <w:tab w:val="left" w:pos="-4395"/>
          <w:tab w:val="left" w:pos="0"/>
        </w:tabs>
        <w:jc w:val="both"/>
        <w:rPr>
          <w:i/>
          <w:iCs/>
          <w:u w:val="single"/>
        </w:rPr>
      </w:pPr>
      <w:r>
        <w:t>4. Контроль исполнения настоящего постановления оставляю за собой.</w:t>
      </w:r>
    </w:p>
    <w:p>
      <w:pPr>
        <w:jc w:val="both"/>
      </w:pPr>
    </w:p>
    <w:p/>
    <w:p/>
    <w:p>
      <w:r>
        <w:t xml:space="preserve">Глава </w:t>
      </w:r>
      <w:r>
        <w:rPr>
          <w:lang w:val="ru-RU"/>
        </w:rPr>
        <w:t>Усть-Чижапского</w:t>
      </w:r>
      <w:r>
        <w:t xml:space="preserve"> сельского  поселения</w:t>
      </w:r>
    </w:p>
    <w:p>
      <w:pPr>
        <w:autoSpaceDE w:val="0"/>
        <w:autoSpaceDN w:val="0"/>
        <w:adjustRightInd w:val="0"/>
        <w:jc w:val="both"/>
        <w:rPr>
          <w:rFonts w:hint="default"/>
          <w:lang w:val="ru-RU"/>
        </w:rPr>
      </w:pPr>
      <w:r>
        <w:t xml:space="preserve"> ( Глава администрации)                                                                                  </w:t>
      </w:r>
      <w:r>
        <w:rPr>
          <w:lang w:val="ru-RU"/>
        </w:rPr>
        <w:t>В</w:t>
      </w:r>
      <w:r>
        <w:rPr>
          <w:rFonts w:hint="default"/>
          <w:lang w:val="ru-RU"/>
        </w:rPr>
        <w:t>.Ф</w:t>
      </w:r>
      <w:r>
        <w:t>. Романов</w:t>
      </w:r>
      <w:r>
        <w:rPr>
          <w:lang w:val="ru-RU"/>
        </w:rPr>
        <w:t>а</w:t>
      </w:r>
    </w:p>
    <w:p/>
    <w:p/>
    <w:p/>
    <w:p/>
    <w:p>
      <w:pPr>
        <w:autoSpaceDE w:val="0"/>
        <w:autoSpaceDN w:val="0"/>
        <w:adjustRightInd w:val="0"/>
        <w:jc w:val="both"/>
        <w:rPr>
          <w:color w:val="333333"/>
          <w:sz w:val="22"/>
          <w:szCs w:val="22"/>
        </w:rPr>
      </w:pPr>
      <w:r>
        <w:rPr>
          <w:rFonts w:eastAsiaTheme="minorHAnsi"/>
          <w:lang w:eastAsia="en-US"/>
        </w:rPr>
        <w:t xml:space="preserve">                                                                                                                                    </w:t>
      </w:r>
      <w:r>
        <w:rPr>
          <w:color w:val="333333"/>
          <w:sz w:val="22"/>
          <w:szCs w:val="22"/>
        </w:rPr>
        <w:t>Приложение</w:t>
      </w:r>
      <w:r>
        <w:rPr>
          <w:color w:val="333333"/>
          <w:sz w:val="22"/>
          <w:szCs w:val="22"/>
        </w:rPr>
        <w:br w:type="textWrapping"/>
      </w:r>
      <w:r>
        <w:rPr>
          <w:color w:val="333333"/>
          <w:sz w:val="22"/>
          <w:szCs w:val="22"/>
        </w:rPr>
        <w:t>                                                                           </w:t>
      </w:r>
    </w:p>
    <w:p>
      <w:pPr>
        <w:autoSpaceDE w:val="0"/>
        <w:autoSpaceDN w:val="0"/>
        <w:adjustRightInd w:val="0"/>
        <w:jc w:val="both"/>
        <w:rPr>
          <w:rFonts w:eastAsiaTheme="minorHAnsi"/>
          <w:lang w:eastAsia="en-US"/>
        </w:rPr>
      </w:pPr>
      <w:r>
        <w:rPr>
          <w:color w:val="333333"/>
          <w:sz w:val="22"/>
          <w:szCs w:val="22"/>
        </w:rPr>
        <w:t xml:space="preserve">                                                                                                                к постановлению Администрации</w:t>
      </w:r>
    </w:p>
    <w:p>
      <w:pPr>
        <w:jc w:val="right"/>
        <w:rPr>
          <w:color w:val="333333"/>
          <w:sz w:val="22"/>
          <w:szCs w:val="22"/>
        </w:rPr>
      </w:pPr>
      <w:bookmarkStart w:id="0" w:name="_GoBack"/>
      <w:bookmarkEnd w:id="0"/>
      <w:r>
        <w:rPr>
          <w:color w:val="333333"/>
          <w:sz w:val="22"/>
          <w:szCs w:val="22"/>
          <w:lang w:val="ru-RU"/>
        </w:rPr>
        <w:t>Усть-Чижапского</w:t>
      </w:r>
      <w:r>
        <w:rPr>
          <w:color w:val="333333"/>
          <w:sz w:val="22"/>
          <w:szCs w:val="22"/>
        </w:rPr>
        <w:t xml:space="preserve"> сельского поселения</w:t>
      </w:r>
    </w:p>
    <w:p>
      <w:pPr>
        <w:wordWrap w:val="0"/>
        <w:jc w:val="right"/>
        <w:rPr>
          <w:rFonts w:hint="default"/>
          <w:color w:val="333333"/>
          <w:sz w:val="22"/>
          <w:szCs w:val="22"/>
          <w:lang w:val="ru-RU"/>
        </w:rPr>
      </w:pPr>
      <w:r>
        <w:rPr>
          <w:color w:val="333333"/>
          <w:sz w:val="22"/>
          <w:szCs w:val="22"/>
        </w:rPr>
        <w:t xml:space="preserve">от </w:t>
      </w:r>
      <w:r>
        <w:rPr>
          <w:rFonts w:hint="default"/>
          <w:color w:val="333333"/>
          <w:sz w:val="22"/>
          <w:szCs w:val="22"/>
          <w:lang w:val="ru-RU"/>
        </w:rPr>
        <w:t xml:space="preserve">10.08 </w:t>
      </w:r>
      <w:r>
        <w:rPr>
          <w:color w:val="333333"/>
          <w:sz w:val="22"/>
          <w:szCs w:val="22"/>
        </w:rPr>
        <w:t xml:space="preserve">.2022 № </w:t>
      </w:r>
      <w:r>
        <w:rPr>
          <w:rFonts w:hint="default"/>
          <w:color w:val="333333"/>
          <w:sz w:val="22"/>
          <w:szCs w:val="22"/>
          <w:lang w:val="ru-RU"/>
        </w:rPr>
        <w:t xml:space="preserve">39а </w:t>
      </w:r>
    </w:p>
    <w:p/>
    <w:p>
      <w:pPr>
        <w:rPr>
          <w:rFonts w:eastAsiaTheme="majorEastAsia"/>
        </w:rPr>
      </w:pPr>
    </w:p>
    <w:p>
      <w:pPr>
        <w:jc w:val="center"/>
        <w:rPr>
          <w:b/>
        </w:rPr>
      </w:pPr>
      <w:r>
        <w:rPr>
          <w:b/>
        </w:rPr>
        <w:t xml:space="preserve">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b/>
          <w:lang w:val="ru-RU"/>
        </w:rPr>
        <w:t>Усть-Чижапское</w:t>
      </w:r>
      <w:r>
        <w:rPr>
          <w:b/>
        </w:rPr>
        <w:t xml:space="preserve"> сельское поселение  на 2022-2026 годы</w:t>
      </w:r>
    </w:p>
    <w:p>
      <w:pPr>
        <w:jc w:val="center"/>
        <w:rPr>
          <w:rFonts w:eastAsiaTheme="majorEastAsia"/>
        </w:rPr>
      </w:pPr>
    </w:p>
    <w:p>
      <w:pPr>
        <w:jc w:val="center"/>
        <w:rPr>
          <w:rFonts w:eastAsiaTheme="majorEastAsia"/>
        </w:rPr>
      </w:pPr>
      <w:r>
        <w:rPr>
          <w:rFonts w:eastAsiaTheme="majorEastAsia"/>
        </w:rPr>
        <w:t>Паспорт</w:t>
      </w:r>
    </w:p>
    <w:p>
      <w:pPr>
        <w:jc w:val="center"/>
        <w:rPr>
          <w:rFonts w:eastAsiaTheme="majorEastAsia"/>
        </w:rPr>
      </w:pPr>
      <w:r>
        <w:rPr>
          <w:rFonts w:eastAsiaTheme="majorEastAsia"/>
        </w:rPr>
        <w:t>муниципальной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w:t>
      </w:r>
      <w:r>
        <w:t xml:space="preserve"> </w:t>
      </w:r>
      <w:r>
        <w:rPr>
          <w:rFonts w:eastAsiaTheme="majorEastAsia"/>
          <w:lang w:val="ru-RU"/>
        </w:rPr>
        <w:t>Усть-Чижапское</w:t>
      </w:r>
      <w:r>
        <w:rPr>
          <w:rFonts w:eastAsiaTheme="majorEastAsia"/>
        </w:rPr>
        <w:t xml:space="preserve"> сельское поселение  на 2022-2026 годы</w:t>
      </w:r>
    </w:p>
    <w:p>
      <w:pPr>
        <w:rPr>
          <w:rFonts w:eastAsiaTheme="majorEastAsia"/>
        </w:rPr>
      </w:pPr>
    </w:p>
    <w:p/>
    <w:p/>
    <w:tbl>
      <w:tblPr>
        <w:tblStyle w:val="5"/>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414"/>
        <w:gridCol w:w="590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Наименование программы</w:t>
            </w:r>
          </w:p>
        </w:tc>
        <w:tc>
          <w:tcPr>
            <w:tcW w:w="5908" w:type="dxa"/>
            <w:tcBorders>
              <w:top w:val="single" w:color="auto" w:sz="4" w:space="0"/>
              <w:left w:val="single" w:color="auto" w:sz="4" w:space="0"/>
              <w:bottom w:val="single" w:color="auto" w:sz="4" w:space="0"/>
            </w:tcBorders>
          </w:tcPr>
          <w:p>
            <w:pPr>
              <w:pStyle w:val="10"/>
              <w:ind w:firstLine="139"/>
            </w:pPr>
            <w:r>
              <w:t xml:space="preserve">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  на 2022-2026 годы" (далее программа)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Основание для разработки программы (наименование, номер и дата нормативного акта)</w:t>
            </w:r>
          </w:p>
        </w:tc>
        <w:tc>
          <w:tcPr>
            <w:tcW w:w="5908" w:type="dxa"/>
            <w:tcBorders>
              <w:top w:val="single" w:color="auto" w:sz="4" w:space="0"/>
              <w:left w:val="single" w:color="auto" w:sz="4" w:space="0"/>
              <w:bottom w:val="single" w:color="auto" w:sz="4" w:space="0"/>
            </w:tcBorders>
          </w:tcPr>
          <w:p>
            <w:pPr>
              <w:pStyle w:val="10"/>
            </w:pPr>
            <w:r>
              <w:t> </w:t>
            </w:r>
            <w:r>
              <w:fldChar w:fldCharType="begin"/>
            </w:r>
            <w:r>
              <w:instrText xml:space="preserve"> HYPERLINK "http://municipal.garant.ru/document?id=86367&amp;sub=0" </w:instrText>
            </w:r>
            <w:r>
              <w:fldChar w:fldCharType="separate"/>
            </w:r>
            <w:r>
              <w:rPr>
                <w:rStyle w:val="8"/>
                <w:b w:val="0"/>
              </w:rPr>
              <w:t>Федеральный закон</w:t>
            </w:r>
            <w:r>
              <w:rPr>
                <w:rStyle w:val="8"/>
                <w:b w:val="0"/>
              </w:rPr>
              <w:fldChar w:fldCharType="end"/>
            </w:r>
            <w:r>
              <w:t xml:space="preserve"> от 06 октября 2003 N 131-ФЗ "Об общих принципах организации местного самоуправления в Российской Федерации"; </w:t>
            </w:r>
            <w:r>
              <w:fldChar w:fldCharType="begin"/>
            </w:r>
            <w:r>
              <w:instrText xml:space="preserve"> HYPERLINK "http://municipal.garant.ru/document?id=12054854&amp;sub=0" </w:instrText>
            </w:r>
            <w:r>
              <w:fldChar w:fldCharType="separate"/>
            </w:r>
            <w:r>
              <w:rPr>
                <w:rStyle w:val="8"/>
                <w:b w:val="0"/>
              </w:rPr>
              <w:t>Федеральный закон</w:t>
            </w:r>
            <w:r>
              <w:rPr>
                <w:rStyle w:val="8"/>
                <w:b w:val="0"/>
              </w:rPr>
              <w:fldChar w:fldCharType="end"/>
            </w:r>
            <w:r>
              <w:t xml:space="preserve"> от 24 июля 2007 N 209-ФЗ "О развитии малого и среднего предпринимательства в Российской Федерации"</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Заказчик программы</w:t>
            </w:r>
          </w:p>
        </w:tc>
        <w:tc>
          <w:tcPr>
            <w:tcW w:w="5908" w:type="dxa"/>
            <w:tcBorders>
              <w:top w:val="single" w:color="auto" w:sz="4" w:space="0"/>
              <w:left w:val="single" w:color="auto" w:sz="4" w:space="0"/>
              <w:bottom w:val="single" w:color="auto" w:sz="4" w:space="0"/>
            </w:tcBorders>
          </w:tcPr>
          <w:p>
            <w:pPr>
              <w:pStyle w:val="10"/>
              <w:ind w:firstLine="139"/>
            </w:pPr>
            <w:r>
              <w:t xml:space="preserve">Администрация </w:t>
            </w:r>
            <w:r>
              <w:rPr>
                <w:rFonts w:eastAsiaTheme="majorEastAsia"/>
                <w:lang w:val="ru-RU"/>
              </w:rPr>
              <w:t>Усть-Чижапского</w:t>
            </w:r>
            <w:r>
              <w:t xml:space="preserve"> сельского поселения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Разработчик программы</w:t>
            </w:r>
          </w:p>
        </w:tc>
        <w:tc>
          <w:tcPr>
            <w:tcW w:w="5908" w:type="dxa"/>
            <w:tcBorders>
              <w:top w:val="single" w:color="auto" w:sz="4" w:space="0"/>
              <w:left w:val="single" w:color="auto" w:sz="4" w:space="0"/>
              <w:bottom w:val="single" w:color="auto" w:sz="4" w:space="0"/>
            </w:tcBorders>
          </w:tcPr>
          <w:p>
            <w:pPr>
              <w:pStyle w:val="10"/>
              <w:ind w:firstLine="139"/>
            </w:pPr>
            <w:r>
              <w:t xml:space="preserve">Администрация </w:t>
            </w:r>
            <w:r>
              <w:rPr>
                <w:rFonts w:eastAsiaTheme="majorEastAsia"/>
                <w:lang w:val="ru-RU"/>
              </w:rPr>
              <w:t>Усть-Чижапского</w:t>
            </w:r>
            <w:r>
              <w:t xml:space="preserve"> сельского поселения</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Цель и задачи программы</w:t>
            </w:r>
          </w:p>
        </w:tc>
        <w:tc>
          <w:tcPr>
            <w:tcW w:w="5908" w:type="dxa"/>
            <w:tcBorders>
              <w:top w:val="single" w:color="auto" w:sz="4" w:space="0"/>
              <w:left w:val="single" w:color="auto" w:sz="4" w:space="0"/>
              <w:bottom w:val="single" w:color="auto" w:sz="4" w:space="0"/>
            </w:tcBorders>
          </w:tcPr>
          <w:p>
            <w:pPr>
              <w:pStyle w:val="10"/>
              <w:ind w:firstLine="139"/>
            </w:pPr>
            <w:r>
              <w:t>Цель программы:</w:t>
            </w:r>
          </w:p>
          <w:p>
            <w:pPr>
              <w:pStyle w:val="10"/>
              <w:ind w:firstLine="139"/>
            </w:pPr>
            <w:r>
              <w:t xml:space="preserve">- Повышение конкурентоспособности малого и среднего предпринимательства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 области путем создания благоприятных условий для развития предпринимательской деятельности.</w:t>
            </w:r>
          </w:p>
          <w:p>
            <w:pPr>
              <w:pStyle w:val="10"/>
              <w:ind w:firstLine="139"/>
            </w:pPr>
            <w:r>
              <w:t>Задачи программы:</w:t>
            </w:r>
          </w:p>
          <w:p>
            <w:pPr>
              <w:pStyle w:val="10"/>
              <w:ind w:firstLine="139"/>
            </w:pPr>
            <w:r>
              <w:t>- Развитие инфраструктуры поддержки субъектов малого и среднего предпринимательства;</w:t>
            </w:r>
          </w:p>
          <w:p>
            <w:pPr>
              <w:pStyle w:val="10"/>
              <w:ind w:firstLine="139"/>
            </w:pPr>
            <w:r>
              <w:t xml:space="preserve">- Увеличение вклада субъектов малого и среднего предпринимательства в экономику муниципального образования </w:t>
            </w:r>
            <w:r>
              <w:rPr>
                <w:rFonts w:eastAsiaTheme="majorEastAsia"/>
                <w:lang w:val="ru-RU"/>
              </w:rPr>
              <w:t>Усть-Чижапское</w:t>
            </w:r>
            <w:r>
              <w:rPr>
                <w:rFonts w:eastAsiaTheme="majorEastAsia"/>
              </w:rPr>
              <w:t xml:space="preserve"> </w:t>
            </w:r>
            <w:r>
              <w:t>сельское поселение;</w:t>
            </w:r>
          </w:p>
          <w:p>
            <w:pPr>
              <w:pStyle w:val="10"/>
              <w:ind w:firstLine="139"/>
            </w:pPr>
            <w:r>
              <w:t xml:space="preserve">- Увеличение вклада физических лиц, не являющихся индивидуальными предпринимателями и применяющих специальный налоговый режим "Налог на профессиональный доход" в экономику муниципального образования </w:t>
            </w:r>
            <w:r>
              <w:rPr>
                <w:rFonts w:eastAsiaTheme="majorEastAsia"/>
                <w:lang w:val="ru-RU"/>
              </w:rPr>
              <w:t>Усть-Чижапское</w:t>
            </w:r>
            <w:r>
              <w:rPr>
                <w:rFonts w:eastAsiaTheme="majorEastAsia"/>
              </w:rPr>
              <w:t xml:space="preserve"> </w:t>
            </w:r>
            <w:r>
              <w:t>сельское поселение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Целевые индикаторы</w:t>
            </w:r>
          </w:p>
        </w:tc>
        <w:tc>
          <w:tcPr>
            <w:tcW w:w="5908" w:type="dxa"/>
            <w:tcBorders>
              <w:top w:val="single" w:color="auto" w:sz="4" w:space="0"/>
              <w:left w:val="single" w:color="auto" w:sz="4" w:space="0"/>
              <w:bottom w:val="single" w:color="auto" w:sz="4" w:space="0"/>
            </w:tcBorders>
          </w:tcPr>
          <w:p>
            <w:pPr>
              <w:pStyle w:val="10"/>
              <w:ind w:firstLine="139"/>
            </w:pPr>
            <w:r>
              <w:t>Создание дополнительных гарантий развития малого и среднего предпринимательства, привлечению рабочих мест, улучшению качества оказываемых предпринимателями услуг, физических лиц, не являющихся индивидуальными предпринимателями и применяющих специальный налоговый режим "Налог на профессиональный доход"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Сроки реализации</w:t>
            </w:r>
          </w:p>
        </w:tc>
        <w:tc>
          <w:tcPr>
            <w:tcW w:w="5908" w:type="dxa"/>
            <w:tcBorders>
              <w:top w:val="single" w:color="auto" w:sz="4" w:space="0"/>
              <w:left w:val="single" w:color="auto" w:sz="4" w:space="0"/>
              <w:bottom w:val="single" w:color="auto" w:sz="4" w:space="0"/>
            </w:tcBorders>
          </w:tcPr>
          <w:p>
            <w:pPr>
              <w:pStyle w:val="10"/>
              <w:ind w:firstLine="139"/>
            </w:pPr>
            <w:r>
              <w:t>2022-2026 годы</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Участники (исполнители) основных мероприятий программы</w:t>
            </w:r>
          </w:p>
        </w:tc>
        <w:tc>
          <w:tcPr>
            <w:tcW w:w="5908" w:type="dxa"/>
            <w:tcBorders>
              <w:top w:val="single" w:color="auto" w:sz="4" w:space="0"/>
              <w:left w:val="single" w:color="auto" w:sz="4" w:space="0"/>
              <w:bottom w:val="single" w:color="auto" w:sz="4" w:space="0"/>
            </w:tcBorders>
          </w:tcPr>
          <w:p>
            <w:pPr>
              <w:pStyle w:val="10"/>
              <w:ind w:firstLine="139"/>
            </w:pPr>
            <w:r>
              <w:t xml:space="preserve">- Администрация </w:t>
            </w:r>
            <w:r>
              <w:rPr>
                <w:rFonts w:eastAsiaTheme="majorEastAsia"/>
                <w:lang w:val="ru-RU"/>
              </w:rPr>
              <w:t>Усть-Чижапского</w:t>
            </w:r>
            <w:r>
              <w:t xml:space="preserve"> сельского поселения;</w:t>
            </w:r>
          </w:p>
          <w:p>
            <w:pPr>
              <w:pStyle w:val="10"/>
              <w:ind w:firstLine="139"/>
            </w:pPr>
            <w:r>
              <w:t>- субъекты малого и среднего предпринимательства;</w:t>
            </w:r>
          </w:p>
          <w:p>
            <w:pPr>
              <w:pStyle w:val="10"/>
              <w:ind w:firstLine="139"/>
            </w:pPr>
            <w:r>
              <w:t>- физические лица, не являющиеся индивидуальными предпринимателями и применяющие специальный налоговый режим "Налог на профессиональный доход"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Объемы и источники финансирования программы</w:t>
            </w:r>
          </w:p>
        </w:tc>
        <w:tc>
          <w:tcPr>
            <w:tcW w:w="5908" w:type="dxa"/>
            <w:tcBorders>
              <w:top w:val="single" w:color="auto" w:sz="4" w:space="0"/>
              <w:left w:val="single" w:color="auto" w:sz="4" w:space="0"/>
              <w:bottom w:val="single" w:color="auto" w:sz="4" w:space="0"/>
            </w:tcBorders>
          </w:tcPr>
          <w:p>
            <w:pPr>
              <w:pStyle w:val="10"/>
              <w:ind w:firstLine="139"/>
            </w:pPr>
            <w:r>
              <w:t>Объем финансирования программы на 2022-2026 годы составляет 5,0 тыс. руб. Для реализации программы предусмотрено финансирование по годам:</w:t>
            </w:r>
          </w:p>
          <w:p>
            <w:pPr>
              <w:pStyle w:val="10"/>
              <w:ind w:firstLine="139"/>
            </w:pPr>
            <w:r>
              <w:t>2023 год - 5,0 тыс. руб.,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Ожидаемые конечные результаты реализации программы</w:t>
            </w:r>
          </w:p>
        </w:tc>
        <w:tc>
          <w:tcPr>
            <w:tcW w:w="5908" w:type="dxa"/>
            <w:tcBorders>
              <w:top w:val="single" w:color="auto" w:sz="4" w:space="0"/>
              <w:left w:val="single" w:color="auto" w:sz="4" w:space="0"/>
              <w:bottom w:val="single" w:color="auto" w:sz="4" w:space="0"/>
            </w:tcBorders>
          </w:tcPr>
          <w:p>
            <w:pPr>
              <w:pStyle w:val="10"/>
              <w:ind w:firstLine="139"/>
            </w:pPr>
            <w:r>
              <w:t xml:space="preserve">- Повышение конкурентоспособности малого и среднего предпринимательства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  путем создания благоприятных условий для развития предпринимательской деятельности;</w:t>
            </w:r>
          </w:p>
          <w:p>
            <w:pPr>
              <w:pStyle w:val="10"/>
              <w:ind w:firstLine="139"/>
            </w:pPr>
            <w:r>
              <w:t>- Развитие инфраструктуры поддержки субъектов малого и среднего предпринимательства;</w:t>
            </w:r>
          </w:p>
          <w:p>
            <w:pPr>
              <w:pStyle w:val="10"/>
              <w:ind w:firstLine="139"/>
            </w:pPr>
            <w:r>
              <w:t xml:space="preserve">- Увеличение вклада субъектов малого и среднего предпринимательства в экономику муниципального образования </w:t>
            </w:r>
            <w:r>
              <w:rPr>
                <w:rFonts w:eastAsiaTheme="majorEastAsia"/>
                <w:lang w:val="ru-RU"/>
              </w:rPr>
              <w:t>Усть-Чижапское</w:t>
            </w:r>
            <w:r>
              <w:rPr>
                <w:rFonts w:eastAsiaTheme="majorEastAsia"/>
              </w:rPr>
              <w:t xml:space="preserve"> </w:t>
            </w:r>
            <w:r>
              <w:t>сельское поселение</w:t>
            </w:r>
          </w:p>
          <w:p>
            <w:pPr>
              <w:pStyle w:val="10"/>
              <w:ind w:firstLine="139"/>
            </w:pPr>
            <w:r>
              <w:t>- Привлечению рабочих мест;</w:t>
            </w:r>
          </w:p>
          <w:p>
            <w:pPr>
              <w:pStyle w:val="10"/>
              <w:ind w:firstLine="139"/>
            </w:pPr>
            <w:r>
              <w:t>- Оказание поддержки физическим лицам, применяющим специальный налоговый режим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414" w:type="dxa"/>
            <w:tcBorders>
              <w:top w:val="single" w:color="auto" w:sz="4" w:space="0"/>
              <w:bottom w:val="single" w:color="auto" w:sz="4" w:space="0"/>
              <w:right w:val="single" w:color="auto" w:sz="4" w:space="0"/>
            </w:tcBorders>
          </w:tcPr>
          <w:p>
            <w:pPr>
              <w:pStyle w:val="11"/>
            </w:pPr>
            <w:r>
              <w:t>Контроль за исполнением программы</w:t>
            </w:r>
          </w:p>
        </w:tc>
        <w:tc>
          <w:tcPr>
            <w:tcW w:w="5908" w:type="dxa"/>
            <w:tcBorders>
              <w:top w:val="single" w:color="auto" w:sz="4" w:space="0"/>
              <w:left w:val="single" w:color="auto" w:sz="4" w:space="0"/>
              <w:bottom w:val="single" w:color="auto" w:sz="4" w:space="0"/>
            </w:tcBorders>
          </w:tcPr>
          <w:p>
            <w:pPr>
              <w:pStyle w:val="10"/>
              <w:ind w:firstLine="139"/>
            </w:pPr>
            <w:r>
              <w:rPr>
                <w:color w:val="000000"/>
              </w:rPr>
              <w:t xml:space="preserve">Совет </w:t>
            </w:r>
            <w:r>
              <w:rPr>
                <w:rFonts w:eastAsiaTheme="majorEastAsia"/>
                <w:lang w:val="ru-RU"/>
              </w:rPr>
              <w:t>Усть-Чижапского</w:t>
            </w:r>
            <w:r>
              <w:rPr>
                <w:color w:val="000000"/>
              </w:rPr>
              <w:t xml:space="preserve"> сельского поселения</w:t>
            </w:r>
          </w:p>
          <w:p>
            <w:pPr>
              <w:pStyle w:val="10"/>
              <w:ind w:firstLine="139"/>
            </w:pPr>
            <w:r>
              <w:t xml:space="preserve">Глава </w:t>
            </w:r>
            <w:r>
              <w:rPr>
                <w:rFonts w:eastAsiaTheme="majorEastAsia"/>
                <w:lang w:val="ru-RU"/>
              </w:rPr>
              <w:t>Усть-Чижапского</w:t>
            </w:r>
            <w:r>
              <w:t xml:space="preserve"> сельского поселения</w:t>
            </w:r>
          </w:p>
        </w:tc>
      </w:tr>
    </w:tbl>
    <w:p/>
    <w:p>
      <w:pPr>
        <w:jc w:val="both"/>
      </w:pPr>
      <w:r>
        <w:t>1. Общая характеристика сферы реализации муниципальной программы, проблемы и обоснование необходимости ее решения программными методами</w:t>
      </w:r>
    </w:p>
    <w:p>
      <w:pPr>
        <w:jc w:val="both"/>
      </w:pPr>
    </w:p>
    <w:p>
      <w:pPr>
        <w:jc w:val="both"/>
      </w:pPr>
      <w:r>
        <w:t xml:space="preserve">Муниципальная программа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rFonts w:eastAsiaTheme="majorEastAsia"/>
          <w:lang w:val="ru-RU"/>
        </w:rPr>
        <w:t>Усть-Чижапское</w:t>
      </w:r>
      <w:r>
        <w:rPr>
          <w:rFonts w:eastAsiaTheme="majorEastAsia"/>
        </w:rPr>
        <w:t xml:space="preserve"> </w:t>
      </w:r>
      <w:r>
        <w:t xml:space="preserve">сельское поселение  на 2022-2026 годы" разработана в соответствии с </w:t>
      </w:r>
      <w:r>
        <w:fldChar w:fldCharType="begin"/>
      </w:r>
      <w:r>
        <w:instrText xml:space="preserve"> HYPERLINK "http://municipal.garant.ru/document?id=86367&amp;sub=0" </w:instrText>
      </w:r>
      <w:r>
        <w:fldChar w:fldCharType="separate"/>
      </w:r>
      <w:r>
        <w:rPr>
          <w:rStyle w:val="8"/>
          <w:rFonts w:cs="Times New Roman CYR"/>
          <w:b w:val="0"/>
        </w:rPr>
        <w:t>Федеральным законом</w:t>
      </w:r>
      <w:r>
        <w:rPr>
          <w:rStyle w:val="8"/>
          <w:rFonts w:cs="Times New Roman CYR"/>
          <w:b w:val="0"/>
        </w:rPr>
        <w:fldChar w:fldCharType="end"/>
      </w:r>
      <w:r>
        <w:t xml:space="preserve"> от 06 октября 2003 N 131-ФЗ "Об общих принципах организации местного самоуправления в Российской Федерации" и </w:t>
      </w:r>
      <w:r>
        <w:fldChar w:fldCharType="begin"/>
      </w:r>
      <w:r>
        <w:instrText xml:space="preserve"> HYPERLINK "http://municipal.garant.ru/document?id=12054854&amp;sub=0" </w:instrText>
      </w:r>
      <w:r>
        <w:fldChar w:fldCharType="separate"/>
      </w:r>
      <w:r>
        <w:rPr>
          <w:rStyle w:val="8"/>
          <w:rFonts w:cs="Times New Roman CYR"/>
          <w:b w:val="0"/>
        </w:rPr>
        <w:t>Федеральным законом</w:t>
      </w:r>
      <w:r>
        <w:rPr>
          <w:rStyle w:val="8"/>
          <w:rFonts w:cs="Times New Roman CYR"/>
          <w:b w:val="0"/>
        </w:rPr>
        <w:fldChar w:fldCharType="end"/>
      </w:r>
      <w:r>
        <w:t xml:space="preserve"> от 24 июля 2007 N 209-ФЗ "О развитии малого и среднего предпринимательства в Российской Федерации".</w:t>
      </w:r>
    </w:p>
    <w:p>
      <w:pPr>
        <w:jc w:val="both"/>
      </w:pPr>
      <w:r>
        <w:t xml:space="preserve">На территории муниципального образования </w:t>
      </w:r>
      <w:r>
        <w:rPr>
          <w:rFonts w:eastAsiaTheme="majorEastAsia"/>
          <w:lang w:val="ru-RU"/>
        </w:rPr>
        <w:t>Усть-Чижапское</w:t>
      </w:r>
      <w:r>
        <w:rPr>
          <w:rFonts w:eastAsiaTheme="majorEastAsia"/>
        </w:rPr>
        <w:t xml:space="preserve"> </w:t>
      </w:r>
      <w:r>
        <w:t xml:space="preserve">сельское поселение зарегистрированы и осуществляют деятельность субъекты малого и среднего предпринимательства. В то же время потенциал развития малого и среднего предпринимательства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 в настоящее время реализован не полностью.</w:t>
      </w:r>
    </w:p>
    <w:p>
      <w:pPr>
        <w:jc w:val="both"/>
      </w:pPr>
      <w:r>
        <w:t>Для поддержки предпринимательства необходим комплексный и последовательный подход, рассчитанный на долгосрочный период, который предполагает использование программно-целевых методов, обеспечивающих увязку реализации мероприятий по срокам, ресурсам, исполнителям, а также организацию управления и контроля.</w:t>
      </w:r>
    </w:p>
    <w:p>
      <w:pPr>
        <w:jc w:val="both"/>
      </w:pPr>
      <w:r>
        <w:t>На территории муниципального образования «</w:t>
      </w:r>
      <w:r>
        <w:rPr>
          <w:rFonts w:eastAsiaTheme="majorEastAsia"/>
          <w:lang w:val="ru-RU"/>
        </w:rPr>
        <w:t>Усть-Чижапское</w:t>
      </w:r>
      <w:r>
        <w:t xml:space="preserve"> сельское поселение»  необходимо создание благоприятных условий для развития субъектов малого и среднего предпринимательства, совершенствование и реализация системы мер имущественной, финансовой, информационной, консультационной поддержки малого и среднего предпринимательства, способствующих созданию новых рабочих мест, развитию реального сектора экономики, пополнению бюджета и обеспечению занятости населения муниципального образования </w:t>
      </w:r>
      <w:r>
        <w:rPr>
          <w:rFonts w:eastAsiaTheme="majorEastAsia"/>
          <w:lang w:val="ru-RU"/>
        </w:rPr>
        <w:t>Усть-Чижапское</w:t>
      </w:r>
      <w:r>
        <w:t xml:space="preserve"> сельское поселение, развитию деятельности физических лиц, применяющим специальный налоговый режим.</w:t>
      </w:r>
    </w:p>
    <w:p>
      <w:pPr>
        <w:jc w:val="both"/>
      </w:pPr>
      <w:r>
        <w:t>Основные принципы поддержки субъектов малого и среднего предпринимательства, физических лиц, применяющих специальный налоговый режим:</w:t>
      </w:r>
    </w:p>
    <w:p>
      <w:pPr>
        <w:jc w:val="both"/>
      </w:pPr>
      <w:r>
        <w:t xml:space="preserve">- субъекты малого и среднего предпринимательства, физические лица, применяющие специальный налоговый режим, должны быть зарегистрированы и осуществлять свою деятельность на территории муниципального образования </w:t>
      </w:r>
      <w:r>
        <w:rPr>
          <w:rFonts w:eastAsiaTheme="majorEastAsia"/>
          <w:lang w:val="ru-RU"/>
        </w:rPr>
        <w:t>Усть-Чижапское</w:t>
      </w:r>
      <w:r>
        <w:t xml:space="preserve"> сельское поселение, не иметь задолженности перед бюджетами всех уровней;</w:t>
      </w:r>
    </w:p>
    <w:p>
      <w:pPr>
        <w:jc w:val="both"/>
      </w:pPr>
      <w:r>
        <w:t>- заявительный порядок обращения субъектов малого и среднего предпринимательства, физических лиц, применяющим специальный налоговый режим, за оказанием поддержки;</w:t>
      </w:r>
    </w:p>
    <w:p>
      <w:pPr>
        <w:jc w:val="both"/>
      </w:pPr>
      <w:r>
        <w:t>- гарантированный равный доступ субъектов малого и среднего предпринимательства, физических лиц, применяющим специальный налоговый режим, отвечающих критериям, предусмотренным программами развития субъектов малого предпринимательства, к участию в соответствующих программах;</w:t>
      </w:r>
    </w:p>
    <w:p>
      <w:pPr>
        <w:jc w:val="both"/>
      </w:pPr>
      <w:r>
        <w:t>- доступность инфраструктуры поддержки субъектов малого и среднего предпринимательства для всех субъектов малого и среднего предпринимательства, физических лиц, применяющим специальный налоговый режим;</w:t>
      </w:r>
    </w:p>
    <w:p>
      <w:pPr>
        <w:jc w:val="both"/>
      </w:pPr>
      <w:r>
        <w:t>- соответствие уровня заработной платы действующему законодательству;</w:t>
      </w:r>
    </w:p>
    <w:p>
      <w:pPr>
        <w:jc w:val="both"/>
      </w:pPr>
      <w:r>
        <w:t>- открытость процедур оказания поддержки;</w:t>
      </w:r>
    </w:p>
    <w:p>
      <w:pPr>
        <w:jc w:val="both"/>
      </w:pPr>
      <w:r>
        <w:t>- интегральная поддержка (возможность одновременного получения в нескольких формах).</w:t>
      </w:r>
    </w:p>
    <w:p>
      <w:pPr>
        <w:jc w:val="both"/>
      </w:pPr>
    </w:p>
    <w:p>
      <w:pPr>
        <w:jc w:val="both"/>
      </w:pPr>
      <w:r>
        <w:t>2. Поддержка субъектов малого и среднего предпринимательства, физических лиц, применяющих специальный налоговый режим.</w:t>
      </w:r>
    </w:p>
    <w:p>
      <w:pPr>
        <w:jc w:val="both"/>
      </w:pPr>
    </w:p>
    <w:p>
      <w:pPr>
        <w:jc w:val="both"/>
      </w:pPr>
      <w:r>
        <w:t>Поддержка субъектов малого и среднего предпринимательства, физических лиц, применяющих специальный налоговый режим, осуществляется в следующих формах:</w:t>
      </w:r>
    </w:p>
    <w:p>
      <w:pPr>
        <w:jc w:val="both"/>
      </w:pPr>
      <w:r>
        <w:t>- правовая поддержка;</w:t>
      </w:r>
    </w:p>
    <w:p>
      <w:pPr>
        <w:jc w:val="both"/>
      </w:pPr>
      <w:r>
        <w:t>- консультационная поддержка;</w:t>
      </w:r>
    </w:p>
    <w:p>
      <w:pPr>
        <w:jc w:val="both"/>
      </w:pPr>
      <w:r>
        <w:t>- информационная поддержка.</w:t>
      </w:r>
    </w:p>
    <w:p>
      <w:pPr>
        <w:jc w:val="both"/>
      </w:pPr>
      <w:r>
        <w:t>Консультационная, информационная и правовая поддержка может быть оказана с использованием телефонной или иной связи, распространением печатных изданий (буклетов).</w:t>
      </w:r>
    </w:p>
    <w:p>
      <w:pPr>
        <w:jc w:val="both"/>
      </w:pPr>
      <w:r>
        <w:t>Приоритетными направлениями поддержки субъектов малого и среднего предпринимательства определяются:</w:t>
      </w:r>
    </w:p>
    <w:p>
      <w:pPr>
        <w:jc w:val="both"/>
      </w:pPr>
      <w:r>
        <w:t>- промышленные и инновационные производства;</w:t>
      </w:r>
    </w:p>
    <w:p>
      <w:pPr>
        <w:jc w:val="both"/>
      </w:pPr>
      <w:r>
        <w:t>- переработка продукции агропромышленного комплекса;</w:t>
      </w:r>
    </w:p>
    <w:p>
      <w:pPr>
        <w:jc w:val="both"/>
      </w:pPr>
      <w:r>
        <w:t>- выпуск товаров потребительского назначения;</w:t>
      </w:r>
    </w:p>
    <w:p>
      <w:pPr>
        <w:jc w:val="both"/>
      </w:pPr>
      <w:r>
        <w:t>- оказание услуг населению.</w:t>
      </w:r>
    </w:p>
    <w:p>
      <w:pPr>
        <w:jc w:val="both"/>
      </w:pPr>
      <w:r>
        <w:t xml:space="preserve">Органами местного самоуправления муниципального образования </w:t>
      </w:r>
      <w:r>
        <w:rPr>
          <w:rFonts w:eastAsiaTheme="majorEastAsia"/>
          <w:lang w:val="ru-RU"/>
        </w:rPr>
        <w:t>Усть-Чижапское</w:t>
      </w:r>
      <w:r>
        <w:rPr>
          <w:rFonts w:eastAsiaTheme="majorEastAsia"/>
        </w:rPr>
        <w:t xml:space="preserve"> </w:t>
      </w:r>
      <w:r>
        <w:t>сельское поселение  не может оказываться поддержка кредитным и страховым организациям, инвестиционным фондам, негосударственным пенсионным фондам, ломбардам, фондам ценных бумаг.</w:t>
      </w:r>
    </w:p>
    <w:p>
      <w:pPr>
        <w:jc w:val="both"/>
      </w:pPr>
      <w:r>
        <w:t xml:space="preserve">Перечень мероприятий по созданию условий для развития малого и среднего предпринимательства, физических лиц, применяющих специальный налоговый режим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  приведены в приложении № 1 к муниципальной программе.</w:t>
      </w:r>
    </w:p>
    <w:p>
      <w:pPr>
        <w:jc w:val="both"/>
      </w:pPr>
    </w:p>
    <w:p>
      <w:pPr>
        <w:jc w:val="both"/>
      </w:pPr>
      <w:r>
        <w:t>3. Основные цели и задачи Программы, прогноз развития соответствующей сферы реализации муниципальной программы</w:t>
      </w:r>
    </w:p>
    <w:p>
      <w:pPr>
        <w:jc w:val="both"/>
      </w:pPr>
    </w:p>
    <w:p>
      <w:pPr>
        <w:jc w:val="both"/>
      </w:pPr>
      <w:r>
        <w:t xml:space="preserve">Цель программы - создание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 благоприятных условий для устойчивого развития предприятий субъектов малого и среднего бизнеса, способствующих созданию новых рабочих мест, развитию реального сектора экономики, пополнению бюджета, на основе формирования эффективных механизмов поддержки физических лиц, применяющих специальный налоговый режим. Для достижения цели настоящей программы поставлены задачи, позволяющие в условиях ограниченного ресурсного обеспечения разрешить ключевые проблемы развития субъектов малого и среднего предпринимательства, в том числе:</w:t>
      </w:r>
    </w:p>
    <w:p>
      <w:pPr>
        <w:jc w:val="both"/>
      </w:pPr>
      <w:r>
        <w:t>- создание правовых, экономических и организационных условий для устойчивой деятельности субъектов малого и среднего предпринимательства;</w:t>
      </w:r>
    </w:p>
    <w:p>
      <w:pPr>
        <w:jc w:val="both"/>
      </w:pPr>
      <w:r>
        <w:t>- развитие инфраструктуры поддержки предпринимательства с предоставлением методической, информационной, консультационной;</w:t>
      </w:r>
    </w:p>
    <w:p>
      <w:pPr>
        <w:jc w:val="both"/>
      </w:pPr>
      <w:r>
        <w:t>- устранение административных барьеров, препятствующих развитию субъектов малого и среднего бизнеса;</w:t>
      </w:r>
    </w:p>
    <w:p>
      <w:pPr>
        <w:jc w:val="both"/>
      </w:pPr>
      <w:r>
        <w:t>- совершенствование методов и механизмов финансовой поддержки субъектов малого и среднего предпринимательства;</w:t>
      </w:r>
    </w:p>
    <w:p>
      <w:pPr>
        <w:jc w:val="both"/>
      </w:pPr>
      <w:r>
        <w:t>- повышение деловой и инвестиционной активности предприятий субъектов малого и среднего бизнеса;</w:t>
      </w:r>
    </w:p>
    <w:p>
      <w:pPr>
        <w:jc w:val="both"/>
      </w:pPr>
      <w:r>
        <w:t>- создание условий для увеличения занятости населения;</w:t>
      </w:r>
    </w:p>
    <w:p>
      <w:pPr>
        <w:jc w:val="both"/>
      </w:pPr>
      <w:r>
        <w:t>- привлечение представителей субъектов малого и среднего бизнеса, ведущих деятельность в приоритетных направлениях социального развития;</w:t>
      </w:r>
    </w:p>
    <w:p>
      <w:pPr>
        <w:jc w:val="both"/>
      </w:pPr>
      <w:r>
        <w:t>- привлечение субъектов малого и среднего предпринимательства для выполнения муниципального заказа.</w:t>
      </w:r>
    </w:p>
    <w:p>
      <w:pPr>
        <w:jc w:val="both"/>
      </w:pPr>
      <w:r>
        <w:t xml:space="preserve">Указанная цель и задачи соответствуют социально-экономической направленности развития муниципального образования </w:t>
      </w:r>
      <w:r>
        <w:rPr>
          <w:rFonts w:eastAsiaTheme="majorEastAsia"/>
          <w:lang w:val="ru-RU"/>
        </w:rPr>
        <w:t>Усть-Чижапское</w:t>
      </w:r>
      <w:r>
        <w:rPr>
          <w:rFonts w:eastAsiaTheme="majorEastAsia"/>
        </w:rPr>
        <w:t xml:space="preserve"> </w:t>
      </w:r>
      <w:r>
        <w:t>сельское поселение.</w:t>
      </w:r>
    </w:p>
    <w:p>
      <w:pPr>
        <w:suppressAutoHyphens/>
        <w:jc w:val="both"/>
        <w:rPr>
          <w:color w:val="000000"/>
        </w:rPr>
      </w:pPr>
    </w:p>
    <w:p>
      <w:pPr>
        <w:suppressAutoHyphens/>
        <w:jc w:val="both"/>
        <w:rPr>
          <w:color w:val="000000"/>
        </w:rPr>
      </w:pPr>
      <w:r>
        <w:rPr>
          <w:color w:val="000000"/>
        </w:rPr>
        <w:t>4. Механизмы реализации программы</w:t>
      </w:r>
    </w:p>
    <w:p>
      <w:pPr>
        <w:suppressAutoHyphens/>
        <w:ind w:firstLine="680"/>
        <w:jc w:val="both"/>
      </w:pPr>
    </w:p>
    <w:p>
      <w:pPr>
        <w:suppressAutoHyphens/>
        <w:ind w:firstLine="680"/>
        <w:jc w:val="both"/>
      </w:pPr>
      <w:r>
        <w:t>Механизмы реализации Программы, ее программные мероприятия определены исходя из основной цели Программы и задач, необходимых для решения поставленной цели. Система мероприятий Программы состоит из следующих основных разделов:</w:t>
      </w:r>
    </w:p>
    <w:p>
      <w:pPr>
        <w:suppressAutoHyphens/>
        <w:jc w:val="both"/>
      </w:pPr>
      <w:r>
        <w:t>1. Развитие инфраструктуры поддержки субъектов малого и среднего предпринимательства, физических лиц, применяющих специальный налоговый режим.</w:t>
      </w:r>
    </w:p>
    <w:p>
      <w:pPr>
        <w:suppressAutoHyphens/>
        <w:jc w:val="both"/>
      </w:pPr>
      <w:r>
        <w:t>2. Информационная и кадровая поддержка субъектов малого и среднего бизнеса через инфраструктуру поддержки малого и среднего предпринимательства.</w:t>
      </w:r>
    </w:p>
    <w:p>
      <w:pPr>
        <w:suppressAutoHyphens/>
        <w:jc w:val="both"/>
      </w:pPr>
      <w:r>
        <w:t>3. Финансовая поддержка субъектов малого и среднего предпринимательства, физических лиц, применяющих специальный налоговый режим.</w:t>
      </w:r>
    </w:p>
    <w:p>
      <w:pPr>
        <w:suppressAutoHyphens/>
        <w:jc w:val="both"/>
      </w:pPr>
      <w:r>
        <w:t>4. Организация системы продвижения товаров и услуг, производимых субъектами малого и среднего предпринимательства, на муниципальные и региональные рынки, развитие межрегионального сотрудничества.</w:t>
      </w:r>
    </w:p>
    <w:p>
      <w:pPr>
        <w:suppressAutoHyphens/>
        <w:jc w:val="both"/>
      </w:pPr>
      <w:r>
        <w:t>5. Популяризация предпринимательской деятельности.</w:t>
      </w:r>
    </w:p>
    <w:p>
      <w:pPr>
        <w:jc w:val="both"/>
      </w:pPr>
      <w:r>
        <w:t>Такая группировка по направлениям позволяет принять среднесрочную программу и реализовать на ее основе мероприятий, рассчитанных на несколько лет в зависимости от финансовых возможностей бюджета и представленных в приложении 1.</w:t>
      </w:r>
    </w:p>
    <w:p>
      <w:pPr>
        <w:pStyle w:val="11"/>
        <w:jc w:val="both"/>
      </w:pPr>
    </w:p>
    <w:p>
      <w:pPr>
        <w:pStyle w:val="11"/>
        <w:jc w:val="both"/>
      </w:pPr>
      <w:r>
        <w:t>5. Ожидаемые результаты от реализации Программы</w:t>
      </w:r>
    </w:p>
    <w:p>
      <w:pPr>
        <w:jc w:val="both"/>
      </w:pPr>
    </w:p>
    <w:p>
      <w:pPr>
        <w:jc w:val="both"/>
      </w:pPr>
      <w:r>
        <w:t xml:space="preserve">Реализация мероприятий программы предполагает создать условия для сохранения действующих и вновь образованных субъектов малого и среднего предпринимательства, что позволит обеспечить увеличение количества рабочих мест, повышение заработной платы на предприятиях субъектов малого и среднего бизнеса и тем самым повысить уровень жизни населения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w:t>
      </w:r>
    </w:p>
    <w:p>
      <w:pPr>
        <w:jc w:val="both"/>
      </w:pPr>
      <w:r>
        <w:t>По итогам реализации программы планируется получить следующие результаты:</w:t>
      </w:r>
    </w:p>
    <w:p>
      <w:pPr>
        <w:jc w:val="both"/>
      </w:pPr>
      <w:r>
        <w:t>- привлечение инвестиций в малое предпринимательство;</w:t>
      </w:r>
    </w:p>
    <w:p>
      <w:pPr>
        <w:jc w:val="both"/>
      </w:pPr>
      <w:r>
        <w:t xml:space="preserve">- увеличение объема товаров и услуг, производимых и реализуемых субъектами малого и среднего предпринимательства, расположенными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w:t>
      </w:r>
    </w:p>
    <w:p>
      <w:pPr>
        <w:jc w:val="both"/>
      </w:pPr>
      <w:r>
        <w:t>- повышение качества товаров и услуг, предоставляемых населению за счет усиления конкуренции;</w:t>
      </w:r>
    </w:p>
    <w:p>
      <w:pPr>
        <w:jc w:val="both"/>
      </w:pPr>
      <w:r>
        <w:t>- увеличение представителей субъектов малого и среднего бизнеса, ведущих деятельность в приоритетных направлениях социального развития;</w:t>
      </w:r>
    </w:p>
    <w:p>
      <w:pPr>
        <w:jc w:val="both"/>
      </w:pPr>
      <w:r>
        <w:t>- увеличение физических лиц, применяющих специальный налоговый режим.</w:t>
      </w:r>
    </w:p>
    <w:p>
      <w:pPr>
        <w:pStyle w:val="6"/>
        <w:suppressAutoHyphens/>
        <w:ind w:firstLine="680"/>
        <w:jc w:val="both"/>
        <w:rPr>
          <w:color w:val="000000"/>
          <w:szCs w:val="24"/>
        </w:rPr>
      </w:pPr>
    </w:p>
    <w:p>
      <w:pPr>
        <w:pStyle w:val="6"/>
        <w:suppressAutoHyphens/>
        <w:jc w:val="both"/>
        <w:rPr>
          <w:color w:val="000000"/>
          <w:szCs w:val="24"/>
        </w:rPr>
      </w:pPr>
      <w:r>
        <w:rPr>
          <w:color w:val="000000"/>
          <w:szCs w:val="24"/>
        </w:rPr>
        <w:t>6.  Оценка эффективности реализации программы</w:t>
      </w:r>
    </w:p>
    <w:p>
      <w:pPr>
        <w:suppressAutoHyphens/>
        <w:jc w:val="both"/>
      </w:pPr>
    </w:p>
    <w:p>
      <w:pPr>
        <w:suppressAutoHyphens/>
        <w:jc w:val="both"/>
      </w:pPr>
      <w:r>
        <w:t>Ожидаемые результаты реализации  программы:</w:t>
      </w:r>
    </w:p>
    <w:tbl>
      <w:tblPr>
        <w:tblStyle w:val="5"/>
        <w:tblW w:w="0" w:type="auto"/>
        <w:jc w:val="center"/>
        <w:tblLayout w:type="fixed"/>
        <w:tblCellMar>
          <w:top w:w="0" w:type="dxa"/>
          <w:left w:w="70" w:type="dxa"/>
          <w:bottom w:w="0" w:type="dxa"/>
          <w:right w:w="70" w:type="dxa"/>
        </w:tblCellMar>
      </w:tblPr>
      <w:tblGrid>
        <w:gridCol w:w="405"/>
        <w:gridCol w:w="3523"/>
        <w:gridCol w:w="1322"/>
        <w:gridCol w:w="1276"/>
        <w:gridCol w:w="1134"/>
        <w:gridCol w:w="1072"/>
        <w:gridCol w:w="1141"/>
        <w:gridCol w:w="60"/>
      </w:tblGrid>
      <w:tr>
        <w:tblPrEx>
          <w:tblCellMar>
            <w:top w:w="0" w:type="dxa"/>
            <w:left w:w="70" w:type="dxa"/>
            <w:bottom w:w="0" w:type="dxa"/>
            <w:right w:w="70" w:type="dxa"/>
          </w:tblCellMar>
        </w:tblPrEx>
        <w:trPr>
          <w:gridAfter w:val="1"/>
          <w:wAfter w:w="60" w:type="dxa"/>
          <w:cantSplit/>
          <w:trHeight w:val="240" w:hRule="atLeast"/>
          <w:jc w:val="center"/>
        </w:trPr>
        <w:tc>
          <w:tcPr>
            <w:tcW w:w="405" w:type="dxa"/>
            <w:vMerge w:val="restart"/>
            <w:tcBorders>
              <w:top w:val="single" w:color="auto" w:sz="6" w:space="0"/>
              <w:left w:val="single" w:color="auto" w:sz="6" w:space="0"/>
              <w:bottom w:val="single" w:color="auto" w:sz="6" w:space="0"/>
              <w:right w:val="single" w:color="auto" w:sz="6" w:space="0"/>
            </w:tcBorders>
          </w:tcPr>
          <w:p>
            <w:pPr>
              <w:suppressAutoHyphens/>
              <w:jc w:val="both"/>
            </w:pPr>
            <w:r>
              <w:t>№№</w:t>
            </w:r>
            <w:r>
              <w:br w:type="textWrapping"/>
            </w:r>
            <w:r>
              <w:t>пп</w:t>
            </w:r>
          </w:p>
        </w:tc>
        <w:tc>
          <w:tcPr>
            <w:tcW w:w="3523" w:type="dxa"/>
            <w:vMerge w:val="restart"/>
            <w:tcBorders>
              <w:top w:val="single" w:color="auto" w:sz="6" w:space="0"/>
              <w:left w:val="single" w:color="auto" w:sz="6" w:space="0"/>
              <w:bottom w:val="single" w:color="auto" w:sz="6" w:space="0"/>
              <w:right w:val="single" w:color="auto" w:sz="6" w:space="0"/>
            </w:tcBorders>
          </w:tcPr>
          <w:p>
            <w:pPr>
              <w:suppressAutoHyphens/>
              <w:jc w:val="both"/>
            </w:pPr>
            <w:r>
              <w:br w:type="textWrapping"/>
            </w:r>
            <w:r>
              <w:t xml:space="preserve">Показатель              </w:t>
            </w:r>
          </w:p>
        </w:tc>
        <w:tc>
          <w:tcPr>
            <w:tcW w:w="5945" w:type="dxa"/>
            <w:gridSpan w:val="5"/>
            <w:tcBorders>
              <w:top w:val="single" w:color="auto" w:sz="6" w:space="0"/>
              <w:left w:val="single" w:color="auto" w:sz="6" w:space="0"/>
              <w:bottom w:val="single" w:color="auto" w:sz="6" w:space="0"/>
              <w:right w:val="single" w:color="auto" w:sz="6" w:space="0"/>
            </w:tcBorders>
          </w:tcPr>
          <w:p>
            <w:pPr>
              <w:suppressAutoHyphens/>
              <w:jc w:val="both"/>
            </w:pPr>
            <w:r>
              <w:t xml:space="preserve">Ожидаемые результаты по годам  </w:t>
            </w:r>
          </w:p>
        </w:tc>
      </w:tr>
      <w:tr>
        <w:tblPrEx>
          <w:tblCellMar>
            <w:top w:w="0" w:type="dxa"/>
            <w:left w:w="70" w:type="dxa"/>
            <w:bottom w:w="0" w:type="dxa"/>
            <w:right w:w="70" w:type="dxa"/>
          </w:tblCellMar>
        </w:tblPrEx>
        <w:trPr>
          <w:cantSplit/>
          <w:trHeight w:val="240" w:hRule="atLeast"/>
          <w:jc w:val="center"/>
        </w:trPr>
        <w:tc>
          <w:tcPr>
            <w:tcW w:w="405" w:type="dxa"/>
            <w:vMerge w:val="continue"/>
            <w:tcBorders>
              <w:top w:val="single" w:color="auto" w:sz="6" w:space="0"/>
              <w:left w:val="single" w:color="auto" w:sz="6" w:space="0"/>
              <w:bottom w:val="single" w:color="auto" w:sz="6" w:space="0"/>
              <w:right w:val="single" w:color="auto" w:sz="6" w:space="0"/>
            </w:tcBorders>
            <w:vAlign w:val="center"/>
          </w:tcPr>
          <w:p>
            <w:pPr>
              <w:jc w:val="both"/>
            </w:pPr>
          </w:p>
        </w:tc>
        <w:tc>
          <w:tcPr>
            <w:tcW w:w="3523" w:type="dxa"/>
            <w:vMerge w:val="continue"/>
            <w:tcBorders>
              <w:top w:val="single" w:color="auto" w:sz="6" w:space="0"/>
              <w:left w:val="single" w:color="auto" w:sz="6" w:space="0"/>
              <w:bottom w:val="single" w:color="auto" w:sz="6" w:space="0"/>
              <w:right w:val="single" w:color="auto" w:sz="6" w:space="0"/>
            </w:tcBorders>
            <w:vAlign w:val="center"/>
          </w:tcPr>
          <w:p>
            <w:pPr>
              <w:jc w:val="both"/>
            </w:pPr>
          </w:p>
        </w:tc>
        <w:tc>
          <w:tcPr>
            <w:tcW w:w="1322" w:type="dxa"/>
            <w:tcBorders>
              <w:top w:val="single" w:color="auto" w:sz="6" w:space="0"/>
              <w:left w:val="single" w:color="auto" w:sz="6" w:space="0"/>
              <w:bottom w:val="single" w:color="auto" w:sz="6" w:space="0"/>
              <w:right w:val="single" w:color="auto" w:sz="6" w:space="0"/>
            </w:tcBorders>
          </w:tcPr>
          <w:p>
            <w:pPr>
              <w:suppressAutoHyphens/>
              <w:jc w:val="both"/>
            </w:pPr>
            <w:r>
              <w:t xml:space="preserve">2022  </w:t>
            </w:r>
          </w:p>
        </w:tc>
        <w:tc>
          <w:tcPr>
            <w:tcW w:w="1276" w:type="dxa"/>
            <w:tcBorders>
              <w:top w:val="single" w:color="auto" w:sz="6" w:space="0"/>
              <w:left w:val="single" w:color="auto" w:sz="6" w:space="0"/>
              <w:bottom w:val="single" w:color="auto" w:sz="6" w:space="0"/>
              <w:right w:val="single" w:color="auto" w:sz="6" w:space="0"/>
            </w:tcBorders>
          </w:tcPr>
          <w:p>
            <w:pPr>
              <w:suppressAutoHyphens/>
              <w:jc w:val="both"/>
            </w:pPr>
            <w:r>
              <w:t>2023</w:t>
            </w:r>
          </w:p>
        </w:tc>
        <w:tc>
          <w:tcPr>
            <w:tcW w:w="1134" w:type="dxa"/>
            <w:tcBorders>
              <w:top w:val="single" w:color="auto" w:sz="6" w:space="0"/>
              <w:left w:val="single" w:color="auto" w:sz="6" w:space="0"/>
              <w:bottom w:val="single" w:color="auto" w:sz="6" w:space="0"/>
              <w:right w:val="single" w:color="auto" w:sz="6" w:space="0"/>
            </w:tcBorders>
          </w:tcPr>
          <w:p>
            <w:pPr>
              <w:suppressAutoHyphens/>
              <w:jc w:val="both"/>
            </w:pPr>
            <w:r>
              <w:t>2024</w:t>
            </w:r>
          </w:p>
        </w:tc>
        <w:tc>
          <w:tcPr>
            <w:tcW w:w="1072" w:type="dxa"/>
            <w:tcBorders>
              <w:top w:val="single" w:color="auto" w:sz="6" w:space="0"/>
              <w:left w:val="single" w:color="auto" w:sz="6" w:space="0"/>
              <w:bottom w:val="single" w:color="auto" w:sz="6" w:space="0"/>
              <w:right w:val="single" w:color="auto" w:sz="6" w:space="0"/>
            </w:tcBorders>
          </w:tcPr>
          <w:p>
            <w:pPr>
              <w:suppressAutoHyphens/>
              <w:jc w:val="both"/>
            </w:pPr>
            <w:r>
              <w:t xml:space="preserve">2025  </w:t>
            </w:r>
          </w:p>
        </w:tc>
        <w:tc>
          <w:tcPr>
            <w:tcW w:w="1201" w:type="dxa"/>
            <w:gridSpan w:val="2"/>
            <w:tcBorders>
              <w:top w:val="single" w:color="auto" w:sz="6" w:space="0"/>
              <w:left w:val="single" w:color="auto" w:sz="6" w:space="0"/>
              <w:bottom w:val="single" w:color="auto" w:sz="6" w:space="0"/>
              <w:right w:val="single" w:color="auto" w:sz="6" w:space="0"/>
            </w:tcBorders>
          </w:tcPr>
          <w:p>
            <w:pPr>
              <w:suppressAutoHyphens/>
              <w:jc w:val="both"/>
            </w:pPr>
            <w:r>
              <w:t xml:space="preserve">  2026</w:t>
            </w:r>
          </w:p>
        </w:tc>
      </w:tr>
      <w:tr>
        <w:tblPrEx>
          <w:tblCellMar>
            <w:top w:w="0" w:type="dxa"/>
            <w:left w:w="70" w:type="dxa"/>
            <w:bottom w:w="0" w:type="dxa"/>
            <w:right w:w="70" w:type="dxa"/>
          </w:tblCellMar>
        </w:tblPrEx>
        <w:trPr>
          <w:cantSplit/>
          <w:trHeight w:val="600" w:hRule="atLeast"/>
          <w:jc w:val="center"/>
        </w:trPr>
        <w:tc>
          <w:tcPr>
            <w:tcW w:w="405" w:type="dxa"/>
            <w:tcBorders>
              <w:top w:val="single" w:color="auto" w:sz="6" w:space="0"/>
              <w:left w:val="single" w:color="auto" w:sz="6" w:space="0"/>
              <w:bottom w:val="single" w:color="auto" w:sz="6" w:space="0"/>
              <w:right w:val="single" w:color="auto" w:sz="6" w:space="0"/>
            </w:tcBorders>
          </w:tcPr>
          <w:p>
            <w:pPr>
              <w:suppressAutoHyphens/>
              <w:jc w:val="both"/>
            </w:pPr>
            <w:r>
              <w:t>1</w:t>
            </w:r>
          </w:p>
        </w:tc>
        <w:tc>
          <w:tcPr>
            <w:tcW w:w="3523" w:type="dxa"/>
            <w:tcBorders>
              <w:top w:val="single" w:color="auto" w:sz="6" w:space="0"/>
              <w:left w:val="single" w:color="auto" w:sz="6" w:space="0"/>
              <w:bottom w:val="single" w:color="auto" w:sz="6" w:space="0"/>
              <w:right w:val="single" w:color="auto" w:sz="6" w:space="0"/>
            </w:tcBorders>
          </w:tcPr>
          <w:p>
            <w:pPr>
              <w:suppressAutoHyphens/>
              <w:ind w:left="-49"/>
              <w:jc w:val="both"/>
            </w:pPr>
            <w:r>
              <w:t xml:space="preserve">Увеличение количества субъектов      малого и среднего предпринимательства на 7% к 2026 г. по отношению к 2020г.                              </w:t>
            </w:r>
          </w:p>
        </w:tc>
        <w:tc>
          <w:tcPr>
            <w:tcW w:w="1322"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5%     </w:t>
            </w:r>
          </w:p>
        </w:tc>
        <w:tc>
          <w:tcPr>
            <w:tcW w:w="1276"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5,2%     </w:t>
            </w:r>
          </w:p>
        </w:tc>
        <w:tc>
          <w:tcPr>
            <w:tcW w:w="1134"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5,5%     </w:t>
            </w:r>
          </w:p>
        </w:tc>
        <w:tc>
          <w:tcPr>
            <w:tcW w:w="1072"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6%     </w:t>
            </w:r>
          </w:p>
        </w:tc>
        <w:tc>
          <w:tcPr>
            <w:tcW w:w="1201" w:type="dxa"/>
            <w:gridSpan w:val="2"/>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7%     </w:t>
            </w:r>
          </w:p>
        </w:tc>
      </w:tr>
      <w:tr>
        <w:tblPrEx>
          <w:tblCellMar>
            <w:top w:w="0" w:type="dxa"/>
            <w:left w:w="70" w:type="dxa"/>
            <w:bottom w:w="0" w:type="dxa"/>
            <w:right w:w="70" w:type="dxa"/>
          </w:tblCellMar>
        </w:tblPrEx>
        <w:trPr>
          <w:cantSplit/>
          <w:trHeight w:val="480" w:hRule="atLeast"/>
          <w:jc w:val="center"/>
        </w:trPr>
        <w:tc>
          <w:tcPr>
            <w:tcW w:w="405" w:type="dxa"/>
            <w:tcBorders>
              <w:top w:val="single" w:color="auto" w:sz="6" w:space="0"/>
              <w:left w:val="single" w:color="auto" w:sz="6" w:space="0"/>
              <w:bottom w:val="single" w:color="auto" w:sz="6" w:space="0"/>
              <w:right w:val="single" w:color="auto" w:sz="6" w:space="0"/>
            </w:tcBorders>
          </w:tcPr>
          <w:p>
            <w:pPr>
              <w:suppressAutoHyphens/>
              <w:jc w:val="both"/>
            </w:pPr>
            <w:r>
              <w:t>2</w:t>
            </w:r>
          </w:p>
        </w:tc>
        <w:tc>
          <w:tcPr>
            <w:tcW w:w="3523" w:type="dxa"/>
            <w:tcBorders>
              <w:top w:val="single" w:color="auto" w:sz="6" w:space="0"/>
              <w:left w:val="single" w:color="auto" w:sz="6" w:space="0"/>
              <w:bottom w:val="single" w:color="auto" w:sz="6" w:space="0"/>
              <w:right w:val="single" w:color="auto" w:sz="6" w:space="0"/>
            </w:tcBorders>
          </w:tcPr>
          <w:p>
            <w:pPr>
              <w:suppressAutoHyphens/>
              <w:ind w:left="-49"/>
              <w:jc w:val="both"/>
            </w:pPr>
            <w:r>
              <w:t xml:space="preserve">Увеличение числа рабочих мест в малом и среднем предпринимательстве на 6%  к 2022 г. по отношению к 2026 г.     </w:t>
            </w:r>
          </w:p>
        </w:tc>
        <w:tc>
          <w:tcPr>
            <w:tcW w:w="1322"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4%     </w:t>
            </w:r>
          </w:p>
        </w:tc>
        <w:tc>
          <w:tcPr>
            <w:tcW w:w="1276"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4,3%    </w:t>
            </w:r>
          </w:p>
        </w:tc>
        <w:tc>
          <w:tcPr>
            <w:tcW w:w="1134"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4,5%    </w:t>
            </w:r>
          </w:p>
        </w:tc>
        <w:tc>
          <w:tcPr>
            <w:tcW w:w="1072"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5%     </w:t>
            </w:r>
          </w:p>
        </w:tc>
        <w:tc>
          <w:tcPr>
            <w:tcW w:w="1201" w:type="dxa"/>
            <w:gridSpan w:val="2"/>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6%     </w:t>
            </w:r>
          </w:p>
        </w:tc>
      </w:tr>
      <w:tr>
        <w:tblPrEx>
          <w:tblCellMar>
            <w:top w:w="0" w:type="dxa"/>
            <w:left w:w="70" w:type="dxa"/>
            <w:bottom w:w="0" w:type="dxa"/>
            <w:right w:w="70" w:type="dxa"/>
          </w:tblCellMar>
        </w:tblPrEx>
        <w:trPr>
          <w:cantSplit/>
          <w:trHeight w:val="600" w:hRule="atLeast"/>
          <w:jc w:val="center"/>
        </w:trPr>
        <w:tc>
          <w:tcPr>
            <w:tcW w:w="405" w:type="dxa"/>
            <w:tcBorders>
              <w:top w:val="single" w:color="auto" w:sz="6" w:space="0"/>
              <w:left w:val="single" w:color="auto" w:sz="6" w:space="0"/>
              <w:bottom w:val="single" w:color="auto" w:sz="6" w:space="0"/>
              <w:right w:val="single" w:color="auto" w:sz="6" w:space="0"/>
            </w:tcBorders>
          </w:tcPr>
          <w:p>
            <w:pPr>
              <w:suppressAutoHyphens/>
              <w:jc w:val="both"/>
            </w:pPr>
            <w:r>
              <w:t>3</w:t>
            </w:r>
          </w:p>
        </w:tc>
        <w:tc>
          <w:tcPr>
            <w:tcW w:w="3523" w:type="dxa"/>
            <w:tcBorders>
              <w:top w:val="single" w:color="auto" w:sz="6" w:space="0"/>
              <w:left w:val="single" w:color="auto" w:sz="6" w:space="0"/>
              <w:bottom w:val="single" w:color="auto" w:sz="6" w:space="0"/>
              <w:right w:val="single" w:color="auto" w:sz="6" w:space="0"/>
            </w:tcBorders>
          </w:tcPr>
          <w:p>
            <w:pPr>
              <w:suppressAutoHyphens/>
              <w:ind w:left="-49"/>
              <w:jc w:val="both"/>
            </w:pPr>
            <w:r>
              <w:t xml:space="preserve">Увеличение объема выпуска продукции и платных услуг субъектами малого и    среднего предпринимательства на 6% 2026 г. отношению к 2020 г.       </w:t>
            </w:r>
          </w:p>
        </w:tc>
        <w:tc>
          <w:tcPr>
            <w:tcW w:w="1322"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2%    </w:t>
            </w:r>
          </w:p>
        </w:tc>
        <w:tc>
          <w:tcPr>
            <w:tcW w:w="1276"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3%    </w:t>
            </w:r>
          </w:p>
        </w:tc>
        <w:tc>
          <w:tcPr>
            <w:tcW w:w="1134"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3%    </w:t>
            </w:r>
          </w:p>
        </w:tc>
        <w:tc>
          <w:tcPr>
            <w:tcW w:w="1072" w:type="dxa"/>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5%    </w:t>
            </w:r>
          </w:p>
        </w:tc>
        <w:tc>
          <w:tcPr>
            <w:tcW w:w="1201" w:type="dxa"/>
            <w:gridSpan w:val="2"/>
            <w:tcBorders>
              <w:top w:val="single" w:color="auto" w:sz="6" w:space="0"/>
              <w:left w:val="single" w:color="auto" w:sz="6" w:space="0"/>
              <w:bottom w:val="single" w:color="auto" w:sz="6" w:space="0"/>
              <w:right w:val="single" w:color="auto" w:sz="6" w:space="0"/>
            </w:tcBorders>
          </w:tcPr>
          <w:p>
            <w:pPr>
              <w:suppressAutoHyphens/>
              <w:jc w:val="both"/>
            </w:pPr>
            <w:r>
              <w:t>Увеличение</w:t>
            </w:r>
            <w:r>
              <w:br w:type="textWrapping"/>
            </w:r>
            <w:r>
              <w:t xml:space="preserve">на 6%    </w:t>
            </w:r>
          </w:p>
        </w:tc>
      </w:tr>
    </w:tbl>
    <w:p>
      <w:pPr>
        <w:suppressAutoHyphens/>
        <w:jc w:val="both"/>
      </w:pPr>
    </w:p>
    <w:p>
      <w:pPr>
        <w:jc w:val="both"/>
      </w:pPr>
      <w:r>
        <w:t>Реализация мероприятий Программы должна обеспечить увеличение количества субъектов малого и среднего предпринимательства и должно произойти, в том числе в удаленных населенных пунктах и на депрессивных территориях, а также частично решить проблему занятости населения на территории поселения.</w:t>
      </w:r>
    </w:p>
    <w:p>
      <w:pPr>
        <w:jc w:val="both"/>
      </w:pPr>
      <w:r>
        <w:t xml:space="preserve">Реализация мероприятий Программы позволит проводить эффективную политику по созданию благоприятных условий для развития малого и среднего предпринимательства, увеличения выпуска продукции субъектами малого и среднего предпринимательства, повышения технического уровня производства на малых и средних предприятиях и эффективности взаимодействия малых предприятий и индивидуальных предпринимателей с хозяйствующими субъектами за пределами </w:t>
      </w:r>
      <w:r>
        <w:rPr>
          <w:rFonts w:eastAsiaTheme="majorEastAsia"/>
          <w:lang w:val="ru-RU"/>
        </w:rPr>
        <w:t>Усть-Чижапского</w:t>
      </w:r>
      <w:r>
        <w:t xml:space="preserve"> сельского поселения.</w:t>
      </w:r>
    </w:p>
    <w:p>
      <w:pPr>
        <w:jc w:val="both"/>
      </w:pPr>
      <w:r>
        <w:t>Реализация мероприятий Программы позволит привлечь средства бюджета других уровней, внебюджетные инвестиции в сферу предпринимательства, увеличить количество и качество предоставляемых услуг, улучшить качество жизни населения поселения.</w:t>
      </w:r>
    </w:p>
    <w:p>
      <w:pPr>
        <w:jc w:val="both"/>
      </w:pPr>
    </w:p>
    <w:p>
      <w:pPr>
        <w:jc w:val="both"/>
      </w:pPr>
      <w:r>
        <w:t>8.</w:t>
      </w:r>
      <w:r>
        <w:tab/>
      </w:r>
      <w:r>
        <w:t>Контроль за ходом реализации программы</w:t>
      </w:r>
    </w:p>
    <w:p>
      <w:pPr>
        <w:jc w:val="both"/>
      </w:pPr>
      <w:r>
        <w:t xml:space="preserve">Контроль за реализацией Программы осуществляет Глава </w:t>
      </w:r>
      <w:r>
        <w:rPr>
          <w:rFonts w:eastAsiaTheme="majorEastAsia"/>
          <w:lang w:val="ru-RU"/>
        </w:rPr>
        <w:t>Усть-Чижапского</w:t>
      </w:r>
      <w:r>
        <w:t xml:space="preserve"> сельского поселения.</w:t>
      </w:r>
    </w:p>
    <w:p>
      <w:pPr>
        <w:jc w:val="both"/>
      </w:pPr>
      <w:r>
        <w:t xml:space="preserve">Текущий контроль и мониторинг реализации Программы осуществляет Глава </w:t>
      </w:r>
      <w:r>
        <w:rPr>
          <w:rFonts w:eastAsiaTheme="majorEastAsia"/>
          <w:lang w:val="ru-RU"/>
        </w:rPr>
        <w:t>Усть-Чижапское</w:t>
      </w:r>
      <w:r>
        <w:t xml:space="preserve"> сельского поселения и Совет </w:t>
      </w:r>
      <w:r>
        <w:rPr>
          <w:rFonts w:eastAsiaTheme="majorEastAsia"/>
          <w:lang w:val="ru-RU"/>
        </w:rPr>
        <w:t>Усть-Чижапского</w:t>
      </w:r>
      <w:r>
        <w:t xml:space="preserve"> сельского поселения.</w:t>
      </w: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Pr>
        <w:jc w:val="both"/>
      </w:pPr>
    </w:p>
    <w:p/>
    <w:p/>
    <w:p/>
    <w:p/>
    <w:p/>
    <w:p/>
    <w:p/>
    <w:p/>
    <w:p/>
    <w:p/>
    <w:p/>
    <w:p/>
    <w:p/>
    <w:p/>
    <w:p/>
    <w:p/>
    <w:p/>
    <w:p/>
    <w:p>
      <w:pPr>
        <w:ind w:firstLine="698"/>
        <w:jc w:val="right"/>
      </w:pPr>
      <w:r>
        <w:t>Приложение № 1</w:t>
      </w:r>
    </w:p>
    <w:p>
      <w:pPr>
        <w:jc w:val="right"/>
      </w:pPr>
      <w:r>
        <w:t>к муниципальной программе</w:t>
      </w:r>
    </w:p>
    <w:p>
      <w:pPr>
        <w:ind w:firstLine="3914"/>
        <w:jc w:val="right"/>
      </w:pPr>
      <w:r>
        <w:t xml:space="preserve">"Создание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rFonts w:eastAsiaTheme="majorEastAsia"/>
          <w:lang w:val="ru-RU"/>
        </w:rPr>
        <w:t>Усть-Чижапское</w:t>
      </w:r>
      <w:r>
        <w:rPr>
          <w:rFonts w:eastAsiaTheme="majorEastAsia"/>
        </w:rPr>
        <w:t xml:space="preserve"> </w:t>
      </w:r>
      <w:r>
        <w:t>сельское поселение на 2022-2026 годы"</w:t>
      </w:r>
    </w:p>
    <w:p>
      <w:pPr>
        <w:jc w:val="right"/>
      </w:pPr>
    </w:p>
    <w:p>
      <w:pPr>
        <w:pStyle w:val="3"/>
        <w:jc w:val="center"/>
        <w:rPr>
          <w:b/>
          <w:color w:val="auto"/>
        </w:rPr>
      </w:pPr>
      <w:r>
        <w:rPr>
          <w:b/>
          <w:color w:val="auto"/>
        </w:rPr>
        <w:t>Мероприятия</w:t>
      </w:r>
    </w:p>
    <w:p>
      <w:pPr>
        <w:pStyle w:val="3"/>
        <w:jc w:val="center"/>
        <w:rPr>
          <w:b/>
          <w:color w:val="auto"/>
        </w:rPr>
      </w:pPr>
      <w:r>
        <w:rPr>
          <w:b/>
          <w:color w:val="auto"/>
        </w:rPr>
        <w:t xml:space="preserve">по реализации Программы "Создание условий для развития малого и среднего предпринимательства и поддержки физических лиц, не являющихся индивидуальными предпринимателями и применяющих специальный налоговый режим "Налог на профессиональный доход" на территории муниципального образования </w:t>
      </w:r>
      <w:r>
        <w:rPr>
          <w:b/>
          <w:color w:val="auto"/>
          <w:lang w:val="ru-RU"/>
        </w:rPr>
        <w:t>Усть-Чижапское</w:t>
      </w:r>
      <w:r>
        <w:rPr>
          <w:b/>
          <w:color w:val="auto"/>
        </w:rPr>
        <w:t xml:space="preserve"> сельское поселение» на 2022-2026 годы"</w:t>
      </w:r>
    </w:p>
    <w:tbl>
      <w:tblPr>
        <w:tblStyle w:val="5"/>
        <w:tblW w:w="10065" w:type="dxa"/>
        <w:tblInd w:w="-459"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6"/>
        <w:gridCol w:w="2693"/>
        <w:gridCol w:w="1276"/>
        <w:gridCol w:w="1134"/>
        <w:gridCol w:w="1134"/>
        <w:gridCol w:w="1134"/>
        <w:gridCol w:w="1134"/>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 w:type="dxa"/>
            <w:vMerge w:val="restart"/>
            <w:tcBorders>
              <w:top w:val="single" w:color="auto" w:sz="4" w:space="0"/>
              <w:bottom w:val="single" w:color="auto" w:sz="4" w:space="0"/>
              <w:right w:val="nil"/>
            </w:tcBorders>
            <w:vAlign w:val="center"/>
          </w:tcPr>
          <w:p>
            <w:pPr>
              <w:pStyle w:val="10"/>
              <w:jc w:val="center"/>
              <w:rPr>
                <w:sz w:val="22"/>
                <w:szCs w:val="22"/>
              </w:rPr>
            </w:pPr>
            <w:r>
              <w:rPr>
                <w:sz w:val="22"/>
                <w:szCs w:val="22"/>
              </w:rPr>
              <w:t>N</w:t>
            </w:r>
          </w:p>
          <w:p>
            <w:pPr>
              <w:pStyle w:val="10"/>
              <w:jc w:val="center"/>
              <w:rPr>
                <w:sz w:val="22"/>
                <w:szCs w:val="22"/>
              </w:rPr>
            </w:pPr>
            <w:r>
              <w:rPr>
                <w:sz w:val="22"/>
                <w:szCs w:val="22"/>
              </w:rPr>
              <w:t>п/п</w:t>
            </w:r>
          </w:p>
        </w:tc>
        <w:tc>
          <w:tcPr>
            <w:tcW w:w="2693" w:type="dxa"/>
            <w:vMerge w:val="restart"/>
            <w:tcBorders>
              <w:top w:val="single" w:color="auto" w:sz="4" w:space="0"/>
              <w:left w:val="single" w:color="auto" w:sz="4" w:space="0"/>
              <w:bottom w:val="single" w:color="auto" w:sz="4" w:space="0"/>
              <w:right w:val="nil"/>
            </w:tcBorders>
            <w:vAlign w:val="center"/>
          </w:tcPr>
          <w:p>
            <w:pPr>
              <w:pStyle w:val="10"/>
              <w:jc w:val="center"/>
              <w:rPr>
                <w:sz w:val="22"/>
                <w:szCs w:val="22"/>
              </w:rPr>
            </w:pPr>
            <w:r>
              <w:rPr>
                <w:sz w:val="22"/>
                <w:szCs w:val="22"/>
              </w:rPr>
              <w:t>Наименование мероприятия</w:t>
            </w:r>
          </w:p>
        </w:tc>
        <w:tc>
          <w:tcPr>
            <w:tcW w:w="1276" w:type="dxa"/>
            <w:vMerge w:val="restart"/>
            <w:tcBorders>
              <w:top w:val="single" w:color="auto" w:sz="4" w:space="0"/>
              <w:left w:val="single" w:color="auto" w:sz="4" w:space="0"/>
              <w:bottom w:val="single" w:color="auto" w:sz="4" w:space="0"/>
              <w:right w:val="nil"/>
            </w:tcBorders>
            <w:vAlign w:val="center"/>
          </w:tcPr>
          <w:p>
            <w:pPr>
              <w:pStyle w:val="10"/>
              <w:jc w:val="center"/>
              <w:rPr>
                <w:sz w:val="22"/>
                <w:szCs w:val="22"/>
              </w:rPr>
            </w:pPr>
            <w:r>
              <w:rPr>
                <w:sz w:val="22"/>
                <w:szCs w:val="22"/>
              </w:rPr>
              <w:t>Источник</w:t>
            </w:r>
          </w:p>
          <w:p>
            <w:pPr>
              <w:pStyle w:val="10"/>
              <w:jc w:val="center"/>
              <w:rPr>
                <w:sz w:val="22"/>
                <w:szCs w:val="22"/>
              </w:rPr>
            </w:pPr>
            <w:r>
              <w:rPr>
                <w:sz w:val="22"/>
                <w:szCs w:val="22"/>
              </w:rPr>
              <w:t>финансирования</w:t>
            </w:r>
          </w:p>
        </w:tc>
        <w:tc>
          <w:tcPr>
            <w:tcW w:w="5670" w:type="dxa"/>
            <w:gridSpan w:val="5"/>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Стоимость (тыс. руб.)</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0" w:hRule="atLeast"/>
        </w:trPr>
        <w:tc>
          <w:tcPr>
            <w:tcW w:w="426" w:type="dxa"/>
            <w:vMerge w:val="continue"/>
            <w:tcBorders>
              <w:top w:val="single" w:color="auto" w:sz="4" w:space="0"/>
              <w:bottom w:val="single" w:color="auto" w:sz="4" w:space="0"/>
              <w:right w:val="nil"/>
            </w:tcBorders>
            <w:vAlign w:val="center"/>
          </w:tcPr>
          <w:p>
            <w:pPr>
              <w:pStyle w:val="10"/>
              <w:rPr>
                <w:sz w:val="22"/>
                <w:szCs w:val="22"/>
              </w:rPr>
            </w:pPr>
          </w:p>
        </w:tc>
        <w:tc>
          <w:tcPr>
            <w:tcW w:w="2693" w:type="dxa"/>
            <w:vMerge w:val="continue"/>
            <w:tcBorders>
              <w:top w:val="single" w:color="auto" w:sz="4" w:space="0"/>
              <w:left w:val="single" w:color="auto" w:sz="4" w:space="0"/>
              <w:bottom w:val="single" w:color="auto" w:sz="4" w:space="0"/>
              <w:right w:val="nil"/>
            </w:tcBorders>
            <w:vAlign w:val="center"/>
          </w:tcPr>
          <w:p>
            <w:pPr>
              <w:pStyle w:val="10"/>
              <w:rPr>
                <w:sz w:val="22"/>
                <w:szCs w:val="22"/>
              </w:rPr>
            </w:pPr>
          </w:p>
        </w:tc>
        <w:tc>
          <w:tcPr>
            <w:tcW w:w="1276" w:type="dxa"/>
            <w:vMerge w:val="continue"/>
            <w:tcBorders>
              <w:top w:val="single" w:color="auto" w:sz="4" w:space="0"/>
              <w:left w:val="single" w:color="auto" w:sz="4" w:space="0"/>
              <w:bottom w:val="single" w:color="auto" w:sz="4" w:space="0"/>
              <w:right w:val="nil"/>
            </w:tcBorders>
            <w:vAlign w:val="center"/>
          </w:tcPr>
          <w:p>
            <w:pPr>
              <w:pStyle w:val="10"/>
              <w:rPr>
                <w:sz w:val="22"/>
                <w:szCs w:val="22"/>
              </w:rPr>
            </w:pP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p>
          <w:p>
            <w:pPr>
              <w:pStyle w:val="10"/>
              <w:jc w:val="center"/>
              <w:rPr>
                <w:sz w:val="22"/>
                <w:szCs w:val="22"/>
              </w:rPr>
            </w:pPr>
            <w:r>
              <w:rPr>
                <w:sz w:val="22"/>
                <w:szCs w:val="22"/>
              </w:rPr>
              <w:t>2022 год</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p>
          <w:p>
            <w:pPr>
              <w:pStyle w:val="10"/>
              <w:jc w:val="center"/>
              <w:rPr>
                <w:sz w:val="22"/>
                <w:szCs w:val="22"/>
              </w:rPr>
            </w:pPr>
            <w:r>
              <w:rPr>
                <w:sz w:val="22"/>
                <w:szCs w:val="22"/>
              </w:rPr>
              <w:t>2023 год</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p>
          <w:p>
            <w:pPr>
              <w:pStyle w:val="10"/>
              <w:jc w:val="center"/>
              <w:rPr>
                <w:sz w:val="22"/>
                <w:szCs w:val="22"/>
              </w:rPr>
            </w:pPr>
            <w:r>
              <w:rPr>
                <w:sz w:val="22"/>
                <w:szCs w:val="22"/>
              </w:rPr>
              <w:t>2024год</w:t>
            </w:r>
          </w:p>
        </w:tc>
        <w:tc>
          <w:tcPr>
            <w:tcW w:w="1134" w:type="dxa"/>
            <w:tcBorders>
              <w:top w:val="single" w:color="auto" w:sz="4" w:space="0"/>
              <w:left w:val="single" w:color="auto" w:sz="4" w:space="0"/>
              <w:bottom w:val="single" w:color="auto" w:sz="4" w:space="0"/>
            </w:tcBorders>
          </w:tcPr>
          <w:p>
            <w:pPr>
              <w:pStyle w:val="10"/>
              <w:jc w:val="center"/>
              <w:rPr>
                <w:sz w:val="22"/>
                <w:szCs w:val="22"/>
              </w:rPr>
            </w:pPr>
          </w:p>
          <w:p>
            <w:pPr>
              <w:pStyle w:val="10"/>
              <w:jc w:val="center"/>
              <w:rPr>
                <w:sz w:val="22"/>
                <w:szCs w:val="22"/>
              </w:rPr>
            </w:pPr>
            <w:r>
              <w:rPr>
                <w:sz w:val="22"/>
                <w:szCs w:val="22"/>
              </w:rPr>
              <w:t>2025год</w:t>
            </w:r>
          </w:p>
        </w:tc>
        <w:tc>
          <w:tcPr>
            <w:tcW w:w="1134" w:type="dxa"/>
            <w:tcBorders>
              <w:top w:val="single" w:color="auto" w:sz="4" w:space="0"/>
              <w:left w:val="single" w:color="auto" w:sz="4" w:space="0"/>
              <w:bottom w:val="single" w:color="auto" w:sz="4" w:space="0"/>
            </w:tcBorders>
          </w:tcPr>
          <w:p>
            <w:pPr>
              <w:pStyle w:val="10"/>
              <w:jc w:val="center"/>
              <w:rPr>
                <w:sz w:val="22"/>
                <w:szCs w:val="22"/>
              </w:rPr>
            </w:pPr>
          </w:p>
          <w:p>
            <w:pPr>
              <w:pStyle w:val="10"/>
              <w:jc w:val="center"/>
              <w:rPr>
                <w:sz w:val="22"/>
                <w:szCs w:val="22"/>
              </w:rPr>
            </w:pPr>
            <w:r>
              <w:rPr>
                <w:sz w:val="22"/>
                <w:szCs w:val="22"/>
              </w:rPr>
              <w:t>2026год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 w:type="dxa"/>
            <w:tcBorders>
              <w:top w:val="single" w:color="auto" w:sz="4" w:space="0"/>
              <w:bottom w:val="single" w:color="auto" w:sz="4" w:space="0"/>
              <w:right w:val="nil"/>
            </w:tcBorders>
            <w:vAlign w:val="center"/>
          </w:tcPr>
          <w:p>
            <w:pPr>
              <w:pStyle w:val="10"/>
              <w:jc w:val="center"/>
              <w:rPr>
                <w:sz w:val="22"/>
                <w:szCs w:val="22"/>
              </w:rPr>
            </w:pPr>
            <w:r>
              <w:rPr>
                <w:sz w:val="22"/>
                <w:szCs w:val="22"/>
              </w:rPr>
              <w:t>1</w:t>
            </w:r>
          </w:p>
        </w:tc>
        <w:tc>
          <w:tcPr>
            <w:tcW w:w="2693" w:type="dxa"/>
            <w:tcBorders>
              <w:top w:val="single" w:color="auto" w:sz="4" w:space="0"/>
              <w:left w:val="single" w:color="auto" w:sz="4" w:space="0"/>
              <w:bottom w:val="single" w:color="auto" w:sz="4" w:space="0"/>
              <w:right w:val="nil"/>
            </w:tcBorders>
            <w:vAlign w:val="center"/>
          </w:tcPr>
          <w:p>
            <w:pPr>
              <w:pStyle w:val="10"/>
              <w:jc w:val="center"/>
              <w:rPr>
                <w:sz w:val="22"/>
                <w:szCs w:val="22"/>
              </w:rPr>
            </w:pPr>
            <w:r>
              <w:rPr>
                <w:sz w:val="22"/>
                <w:szCs w:val="22"/>
              </w:rPr>
              <w:t>2</w:t>
            </w:r>
          </w:p>
        </w:tc>
        <w:tc>
          <w:tcPr>
            <w:tcW w:w="1276" w:type="dxa"/>
            <w:tcBorders>
              <w:top w:val="single" w:color="auto" w:sz="4" w:space="0"/>
              <w:left w:val="single" w:color="auto" w:sz="4" w:space="0"/>
              <w:bottom w:val="single" w:color="auto" w:sz="4" w:space="0"/>
              <w:right w:val="nil"/>
            </w:tcBorders>
            <w:vAlign w:val="center"/>
          </w:tcPr>
          <w:p>
            <w:pPr>
              <w:pStyle w:val="10"/>
              <w:jc w:val="center"/>
              <w:rPr>
                <w:sz w:val="22"/>
                <w:szCs w:val="22"/>
              </w:rPr>
            </w:pPr>
            <w:r>
              <w:rPr>
                <w:sz w:val="22"/>
                <w:szCs w:val="22"/>
              </w:rPr>
              <w:t>3</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4</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5</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6</w:t>
            </w:r>
          </w:p>
        </w:tc>
        <w:tc>
          <w:tcPr>
            <w:tcW w:w="1134" w:type="dxa"/>
            <w:tcBorders>
              <w:top w:val="single" w:color="auto" w:sz="4" w:space="0"/>
              <w:left w:val="single" w:color="auto" w:sz="4" w:space="0"/>
              <w:bottom w:val="single" w:color="auto" w:sz="4" w:space="0"/>
            </w:tcBorders>
          </w:tcPr>
          <w:p>
            <w:pPr>
              <w:pStyle w:val="10"/>
              <w:jc w:val="center"/>
              <w:rPr>
                <w:sz w:val="22"/>
                <w:szCs w:val="22"/>
              </w:rPr>
            </w:pPr>
            <w:r>
              <w:rPr>
                <w:sz w:val="22"/>
                <w:szCs w:val="22"/>
              </w:rPr>
              <w:t>7</w:t>
            </w:r>
          </w:p>
        </w:tc>
        <w:tc>
          <w:tcPr>
            <w:tcW w:w="1134" w:type="dxa"/>
            <w:tcBorders>
              <w:top w:val="single" w:color="auto" w:sz="4" w:space="0"/>
              <w:left w:val="single" w:color="auto" w:sz="4" w:space="0"/>
              <w:bottom w:val="single" w:color="auto" w:sz="4" w:space="0"/>
            </w:tcBorders>
          </w:tcPr>
          <w:p>
            <w:pPr>
              <w:pStyle w:val="10"/>
              <w:jc w:val="center"/>
              <w:rPr>
                <w:sz w:val="22"/>
                <w:szCs w:val="22"/>
              </w:rPr>
            </w:pPr>
            <w:r>
              <w:rPr>
                <w:sz w:val="22"/>
                <w:szCs w:val="22"/>
              </w:rPr>
              <w:t>8</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 w:type="dxa"/>
            <w:tcBorders>
              <w:top w:val="single" w:color="auto" w:sz="4" w:space="0"/>
              <w:bottom w:val="single" w:color="auto" w:sz="4" w:space="0"/>
              <w:right w:val="nil"/>
            </w:tcBorders>
            <w:vAlign w:val="center"/>
          </w:tcPr>
          <w:p>
            <w:pPr>
              <w:pStyle w:val="10"/>
              <w:jc w:val="center"/>
              <w:rPr>
                <w:sz w:val="22"/>
                <w:szCs w:val="22"/>
              </w:rPr>
            </w:pPr>
            <w:r>
              <w:rPr>
                <w:sz w:val="22"/>
                <w:szCs w:val="22"/>
              </w:rPr>
              <w:t>1.</w:t>
            </w:r>
          </w:p>
        </w:tc>
        <w:tc>
          <w:tcPr>
            <w:tcW w:w="2693" w:type="dxa"/>
            <w:tcBorders>
              <w:top w:val="single" w:color="auto" w:sz="4" w:space="0"/>
              <w:left w:val="single" w:color="auto" w:sz="4" w:space="0"/>
              <w:bottom w:val="single" w:color="auto" w:sz="4" w:space="0"/>
              <w:right w:val="nil"/>
            </w:tcBorders>
            <w:vAlign w:val="center"/>
          </w:tcPr>
          <w:p>
            <w:pPr>
              <w:pStyle w:val="11"/>
              <w:rPr>
                <w:sz w:val="22"/>
                <w:szCs w:val="22"/>
              </w:rPr>
            </w:pPr>
            <w:r>
              <w:rPr>
                <w:sz w:val="22"/>
                <w:szCs w:val="22"/>
              </w:rPr>
              <w:t>Ведение Реестра субъектов малого и среднего предпринимательства, физических лиц, применяющих специальный налоговый режим "Налог на профессиональный доход" - получателей поддержки, приобретение информационного тематического стенда</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Местный бюджет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5,0</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 w:type="dxa"/>
            <w:tcBorders>
              <w:top w:val="single" w:color="auto" w:sz="4" w:space="0"/>
              <w:bottom w:val="single" w:color="auto" w:sz="4" w:space="0"/>
              <w:right w:val="nil"/>
            </w:tcBorders>
            <w:vAlign w:val="center"/>
          </w:tcPr>
          <w:p>
            <w:pPr>
              <w:pStyle w:val="10"/>
              <w:jc w:val="center"/>
              <w:rPr>
                <w:sz w:val="22"/>
                <w:szCs w:val="22"/>
              </w:rPr>
            </w:pPr>
            <w:r>
              <w:rPr>
                <w:sz w:val="22"/>
                <w:szCs w:val="22"/>
              </w:rPr>
              <w:t>2.</w:t>
            </w:r>
          </w:p>
        </w:tc>
        <w:tc>
          <w:tcPr>
            <w:tcW w:w="2693" w:type="dxa"/>
            <w:tcBorders>
              <w:top w:val="single" w:color="auto" w:sz="4" w:space="0"/>
              <w:left w:val="single" w:color="auto" w:sz="4" w:space="0"/>
              <w:bottom w:val="single" w:color="auto" w:sz="4" w:space="0"/>
              <w:right w:val="nil"/>
            </w:tcBorders>
            <w:vAlign w:val="center"/>
          </w:tcPr>
          <w:p>
            <w:pPr>
              <w:pStyle w:val="11"/>
              <w:rPr>
                <w:sz w:val="22"/>
                <w:szCs w:val="22"/>
              </w:rPr>
            </w:pPr>
            <w:r>
              <w:rPr>
                <w:sz w:val="22"/>
                <w:szCs w:val="22"/>
              </w:rPr>
              <w:t xml:space="preserve">Размещение на официальном сайте администрации </w:t>
            </w:r>
            <w:r>
              <w:rPr>
                <w:sz w:val="22"/>
                <w:szCs w:val="22"/>
                <w:lang w:val="ru-RU"/>
              </w:rPr>
              <w:t>Усть-Чижапского</w:t>
            </w:r>
            <w:r>
              <w:rPr>
                <w:sz w:val="22"/>
                <w:szCs w:val="22"/>
              </w:rPr>
              <w:t xml:space="preserve"> сельского поселения  в сети "Интернет" информации, материалов о создании условий для развития малого предпринимательства, о деятельности физических лиц, применяющих специальный налоговый режим "Налог на профессиональный доход" муниципального образования </w:t>
            </w:r>
            <w:r>
              <w:rPr>
                <w:sz w:val="22"/>
                <w:szCs w:val="22"/>
                <w:lang w:val="ru-RU"/>
              </w:rPr>
              <w:t>Усть-Чижапское</w:t>
            </w:r>
            <w:r>
              <w:rPr>
                <w:sz w:val="22"/>
                <w:szCs w:val="22"/>
              </w:rPr>
              <w:t xml:space="preserve"> сельское поселение»</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Местный бюджет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 w:type="dxa"/>
            <w:tcBorders>
              <w:top w:val="single" w:color="auto" w:sz="4" w:space="0"/>
              <w:bottom w:val="single" w:color="auto" w:sz="4" w:space="0"/>
              <w:right w:val="nil"/>
            </w:tcBorders>
            <w:vAlign w:val="center"/>
          </w:tcPr>
          <w:p>
            <w:pPr>
              <w:pStyle w:val="10"/>
              <w:jc w:val="center"/>
              <w:rPr>
                <w:sz w:val="22"/>
                <w:szCs w:val="22"/>
              </w:rPr>
            </w:pPr>
            <w:r>
              <w:rPr>
                <w:sz w:val="22"/>
                <w:szCs w:val="22"/>
              </w:rPr>
              <w:t>3.</w:t>
            </w:r>
          </w:p>
        </w:tc>
        <w:tc>
          <w:tcPr>
            <w:tcW w:w="2693" w:type="dxa"/>
            <w:tcBorders>
              <w:top w:val="single" w:color="auto" w:sz="4" w:space="0"/>
              <w:left w:val="single" w:color="auto" w:sz="4" w:space="0"/>
              <w:bottom w:val="single" w:color="auto" w:sz="4" w:space="0"/>
              <w:right w:val="nil"/>
            </w:tcBorders>
            <w:vAlign w:val="center"/>
          </w:tcPr>
          <w:p>
            <w:pPr>
              <w:pStyle w:val="11"/>
              <w:rPr>
                <w:sz w:val="22"/>
                <w:szCs w:val="22"/>
              </w:rPr>
            </w:pPr>
            <w:r>
              <w:rPr>
                <w:sz w:val="22"/>
                <w:szCs w:val="22"/>
              </w:rPr>
              <w:t>Разработка предложений по совершенствованию системы показателей, характеризующих состояние и развитие малого и среднего предпринимательства, поддержки физических лиц, применяющих специальный налоговый режим "Налог на профессиональный доход"</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Местный бюджет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 w:type="dxa"/>
            <w:tcBorders>
              <w:top w:val="single" w:color="auto" w:sz="4" w:space="0"/>
              <w:bottom w:val="single" w:color="auto" w:sz="4" w:space="0"/>
              <w:right w:val="nil"/>
            </w:tcBorders>
            <w:vAlign w:val="center"/>
          </w:tcPr>
          <w:p>
            <w:pPr>
              <w:pStyle w:val="10"/>
              <w:jc w:val="center"/>
              <w:rPr>
                <w:sz w:val="22"/>
                <w:szCs w:val="22"/>
              </w:rPr>
            </w:pPr>
            <w:r>
              <w:rPr>
                <w:sz w:val="22"/>
                <w:szCs w:val="22"/>
              </w:rPr>
              <w:t>4.</w:t>
            </w:r>
          </w:p>
        </w:tc>
        <w:tc>
          <w:tcPr>
            <w:tcW w:w="2693" w:type="dxa"/>
            <w:tcBorders>
              <w:top w:val="single" w:color="auto" w:sz="4" w:space="0"/>
              <w:left w:val="single" w:color="auto" w:sz="4" w:space="0"/>
              <w:bottom w:val="single" w:color="auto" w:sz="4" w:space="0"/>
              <w:right w:val="nil"/>
            </w:tcBorders>
            <w:vAlign w:val="center"/>
          </w:tcPr>
          <w:p>
            <w:pPr>
              <w:pStyle w:val="11"/>
              <w:rPr>
                <w:sz w:val="22"/>
                <w:szCs w:val="22"/>
              </w:rPr>
            </w:pPr>
            <w:r>
              <w:rPr>
                <w:sz w:val="22"/>
                <w:szCs w:val="22"/>
              </w:rPr>
              <w:t>Консультационные услуги субъектам малого предпринимательства, физическим лицам, применяющим специальный налоговый режим "Налог на профессиональный доход" оказываемые специалистом администрации муниципального образования «</w:t>
            </w:r>
            <w:r>
              <w:rPr>
                <w:rFonts w:eastAsiaTheme="majorEastAsia"/>
                <w:lang w:val="ru-RU"/>
              </w:rPr>
              <w:t>Усть-Чижапское</w:t>
            </w:r>
            <w:r>
              <w:rPr>
                <w:sz w:val="22"/>
                <w:szCs w:val="22"/>
              </w:rPr>
              <w:t xml:space="preserve"> сельское поселение»</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Местный бюджет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6" w:type="dxa"/>
            <w:tcBorders>
              <w:top w:val="single" w:color="auto" w:sz="4" w:space="0"/>
              <w:bottom w:val="single" w:color="auto" w:sz="4" w:space="0"/>
              <w:right w:val="nil"/>
            </w:tcBorders>
            <w:vAlign w:val="center"/>
          </w:tcPr>
          <w:p>
            <w:pPr>
              <w:pStyle w:val="10"/>
              <w:jc w:val="center"/>
              <w:rPr>
                <w:sz w:val="22"/>
                <w:szCs w:val="22"/>
              </w:rPr>
            </w:pPr>
            <w:r>
              <w:rPr>
                <w:sz w:val="22"/>
                <w:szCs w:val="22"/>
              </w:rPr>
              <w:t>5.</w:t>
            </w:r>
          </w:p>
        </w:tc>
        <w:tc>
          <w:tcPr>
            <w:tcW w:w="2693" w:type="dxa"/>
            <w:tcBorders>
              <w:top w:val="single" w:color="auto" w:sz="4" w:space="0"/>
              <w:left w:val="single" w:color="auto" w:sz="4" w:space="0"/>
              <w:bottom w:val="single" w:color="auto" w:sz="4" w:space="0"/>
              <w:right w:val="nil"/>
            </w:tcBorders>
            <w:vAlign w:val="center"/>
          </w:tcPr>
          <w:p>
            <w:pPr>
              <w:pStyle w:val="11"/>
              <w:rPr>
                <w:sz w:val="22"/>
                <w:szCs w:val="22"/>
              </w:rPr>
            </w:pPr>
            <w:r>
              <w:rPr>
                <w:sz w:val="22"/>
                <w:szCs w:val="22"/>
              </w:rPr>
              <w:t>Предоставление преимуществ субъектам малого предпринимательства согласно п.4 ст.27 Федерального закона Российской Федерации от 05.04.2013 N 44-ФЗ "О контрактной системе в сфере закупок товаров, работ, услуг для обеспечения государственных и муниципальных нужд"</w:t>
            </w:r>
          </w:p>
        </w:tc>
        <w:tc>
          <w:tcPr>
            <w:tcW w:w="1276"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Местный бюджет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c>
          <w:tcPr>
            <w:tcW w:w="1134" w:type="dxa"/>
            <w:tcBorders>
              <w:top w:val="single" w:color="auto" w:sz="4" w:space="0"/>
              <w:left w:val="single" w:color="auto" w:sz="4" w:space="0"/>
              <w:bottom w:val="single" w:color="auto" w:sz="4" w:space="0"/>
            </w:tcBorders>
            <w:vAlign w:val="center"/>
          </w:tcPr>
          <w:p>
            <w:pPr>
              <w:pStyle w:val="10"/>
              <w:jc w:val="center"/>
              <w:rPr>
                <w:sz w:val="22"/>
                <w:szCs w:val="22"/>
              </w:rPr>
            </w:pPr>
            <w:r>
              <w:rPr>
                <w:sz w:val="22"/>
                <w:szCs w:val="22"/>
              </w:rPr>
              <w:t>без материальных затрат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119" w:type="dxa"/>
            <w:gridSpan w:val="2"/>
            <w:tcBorders>
              <w:top w:val="single" w:color="auto" w:sz="4" w:space="0"/>
              <w:bottom w:val="single" w:color="auto" w:sz="4" w:space="0"/>
              <w:right w:val="nil"/>
            </w:tcBorders>
          </w:tcPr>
          <w:p>
            <w:pPr>
              <w:pStyle w:val="11"/>
              <w:rPr>
                <w:sz w:val="22"/>
                <w:szCs w:val="22"/>
              </w:rPr>
            </w:pPr>
            <w:r>
              <w:rPr>
                <w:sz w:val="22"/>
                <w:szCs w:val="22"/>
              </w:rPr>
              <w:t>ИТОГО</w:t>
            </w:r>
          </w:p>
        </w:tc>
        <w:tc>
          <w:tcPr>
            <w:tcW w:w="1276" w:type="dxa"/>
            <w:tcBorders>
              <w:top w:val="single" w:color="auto" w:sz="4" w:space="0"/>
              <w:left w:val="single" w:color="auto" w:sz="4" w:space="0"/>
              <w:bottom w:val="single" w:color="auto" w:sz="4" w:space="0"/>
              <w:right w:val="nil"/>
            </w:tcBorders>
          </w:tcPr>
          <w:p>
            <w:pPr>
              <w:pStyle w:val="10"/>
              <w:rPr>
                <w:sz w:val="22"/>
                <w:szCs w:val="22"/>
              </w:rPr>
            </w:pPr>
            <w:r>
              <w:rPr>
                <w:sz w:val="22"/>
                <w:szCs w:val="22"/>
              </w:rPr>
              <w:t>0,0</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rPr>
                <w:sz w:val="22"/>
                <w:szCs w:val="22"/>
              </w:rPr>
            </w:pPr>
            <w:r>
              <w:rPr>
                <w:sz w:val="22"/>
                <w:szCs w:val="22"/>
              </w:rPr>
              <w:t>0,0</w:t>
            </w:r>
          </w:p>
        </w:tc>
        <w:tc>
          <w:tcPr>
            <w:tcW w:w="1134" w:type="dxa"/>
            <w:tcBorders>
              <w:top w:val="single" w:color="auto" w:sz="4" w:space="0"/>
              <w:left w:val="single" w:color="auto" w:sz="4" w:space="0"/>
              <w:bottom w:val="single" w:color="auto" w:sz="4" w:space="0"/>
              <w:right w:val="single" w:color="auto" w:sz="4" w:space="0"/>
            </w:tcBorders>
            <w:vAlign w:val="center"/>
          </w:tcPr>
          <w:p>
            <w:pPr>
              <w:pStyle w:val="10"/>
              <w:rPr>
                <w:sz w:val="22"/>
                <w:szCs w:val="22"/>
              </w:rPr>
            </w:pPr>
            <w:r>
              <w:rPr>
                <w:sz w:val="22"/>
                <w:szCs w:val="22"/>
              </w:rPr>
              <w:t>5,0</w:t>
            </w:r>
          </w:p>
        </w:tc>
        <w:tc>
          <w:tcPr>
            <w:tcW w:w="1134" w:type="dxa"/>
            <w:tcBorders>
              <w:top w:val="single" w:color="auto" w:sz="4" w:space="0"/>
              <w:left w:val="single" w:color="auto" w:sz="4" w:space="0"/>
              <w:bottom w:val="single" w:color="auto" w:sz="4" w:space="0"/>
            </w:tcBorders>
            <w:vAlign w:val="center"/>
          </w:tcPr>
          <w:p>
            <w:pPr>
              <w:pStyle w:val="10"/>
              <w:rPr>
                <w:sz w:val="22"/>
                <w:szCs w:val="22"/>
              </w:rPr>
            </w:pPr>
            <w:r>
              <w:rPr>
                <w:sz w:val="22"/>
                <w:szCs w:val="22"/>
              </w:rPr>
              <w:t>0,0</w:t>
            </w:r>
          </w:p>
        </w:tc>
        <w:tc>
          <w:tcPr>
            <w:tcW w:w="1134" w:type="dxa"/>
            <w:tcBorders>
              <w:top w:val="single" w:color="auto" w:sz="4" w:space="0"/>
              <w:left w:val="single" w:color="auto" w:sz="4" w:space="0"/>
              <w:bottom w:val="single" w:color="auto" w:sz="4" w:space="0"/>
              <w:right w:val="single" w:color="auto" w:sz="4" w:space="0"/>
            </w:tcBorders>
          </w:tcPr>
          <w:p>
            <w:pPr>
              <w:pStyle w:val="10"/>
              <w:rPr>
                <w:sz w:val="22"/>
                <w:szCs w:val="22"/>
              </w:rPr>
            </w:pPr>
            <w:r>
              <w:rPr>
                <w:sz w:val="22"/>
                <w:szCs w:val="22"/>
              </w:rPr>
              <w:t>0,0</w:t>
            </w:r>
          </w:p>
        </w:tc>
        <w:tc>
          <w:tcPr>
            <w:tcW w:w="1134" w:type="dxa"/>
            <w:tcBorders>
              <w:top w:val="single" w:color="auto" w:sz="4" w:space="0"/>
              <w:left w:val="single" w:color="auto" w:sz="4" w:space="0"/>
              <w:bottom w:val="single" w:color="auto" w:sz="4" w:space="0"/>
            </w:tcBorders>
          </w:tcPr>
          <w:p>
            <w:pPr>
              <w:pStyle w:val="10"/>
              <w:rPr>
                <w:sz w:val="22"/>
                <w:szCs w:val="22"/>
              </w:rPr>
            </w:pPr>
            <w:r>
              <w:rPr>
                <w:sz w:val="22"/>
                <w:szCs w:val="22"/>
              </w:rPr>
              <w:t>0,0</w:t>
            </w:r>
          </w:p>
        </w:tc>
      </w:tr>
    </w:tbl>
    <w:p>
      <w:pPr>
        <w:rPr>
          <w:sz w:val="22"/>
          <w:szCs w:val="22"/>
        </w:rPr>
      </w:pPr>
    </w:p>
    <w:p/>
    <w:p/>
    <w:p/>
    <w:p/>
    <w:p/>
    <w:p/>
    <w:p/>
    <w:p/>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43"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43"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imes New Roman CYR">
    <w:altName w:val="Times New Roman"/>
    <w:panose1 w:val="02020603050405020304"/>
    <w:charset w:val="CC"/>
    <w:family w:val="roman"/>
    <w:pitch w:val="default"/>
    <w:sig w:usb0="00000000" w:usb1="00000000" w:usb2="00000009" w:usb3="00000000" w:csb0="000001FF" w:csb1="00000000"/>
  </w:font>
  <w:font w:name="等线">
    <w:altName w:val="Microsoft YaHei"/>
    <w:panose1 w:val="00000000000000000000"/>
    <w:charset w:val="00"/>
    <w:family w:val="auto"/>
    <w:pitch w:val="default"/>
    <w:sig w:usb0="00000000" w:usb1="00000000" w:usb2="00000000" w:usb3="00000000" w:csb0="00000000" w:csb1="00000000"/>
  </w:font>
  <w:font w:name="Microsoft YaHei">
    <w:panose1 w:val="020B0503020204020204"/>
    <w:charset w:val="86"/>
    <w:family w:val="auto"/>
    <w:pitch w:val="default"/>
    <w:sig w:usb0="80000287" w:usb1="28CF3C52" w:usb2="00000016" w:usb3="00000000" w:csb0="0004001F" w:csb1="00000000"/>
  </w:font>
  <w:font w:name="Calibri Light">
    <w:panose1 w:val="020F0302020204030204"/>
    <w:charset w:val="CC"/>
    <w:family w:val="swiss"/>
    <w:pitch w:val="default"/>
    <w:sig w:usb0="A00002EF" w:usb1="4000207B" w:usb2="00000000" w:usb3="00000000" w:csb0="2000019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auto"/>
    <w:pitch w:val="default"/>
    <w:sig w:usb0="A00002EF" w:usb1="4000207B" w:usb2="00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B0C"/>
    <w:rsid w:val="001157AD"/>
    <w:rsid w:val="005632E2"/>
    <w:rsid w:val="00607FA5"/>
    <w:rsid w:val="00A5128D"/>
    <w:rsid w:val="00AB6D2F"/>
    <w:rsid w:val="00B65E5C"/>
    <w:rsid w:val="00BF3B0C"/>
    <w:rsid w:val="36E65220"/>
    <w:rsid w:val="602A08B6"/>
    <w:rsid w:val="64CD171F"/>
    <w:rsid w:val="756B393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nhideWhenUsed="0" w:uiPriority="99"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0" w:line="240" w:lineRule="auto"/>
    </w:pPr>
    <w:rPr>
      <w:rFonts w:ascii="Times New Roman" w:hAnsi="Times New Roman" w:eastAsia="Times New Roman" w:cs="Times New Roman"/>
      <w:sz w:val="24"/>
      <w:szCs w:val="24"/>
      <w:lang w:val="ru-RU" w:eastAsia="ru-RU" w:bidi="ar-SA"/>
    </w:rPr>
  </w:style>
  <w:style w:type="paragraph" w:styleId="2">
    <w:name w:val="heading 1"/>
    <w:basedOn w:val="1"/>
    <w:next w:val="1"/>
    <w:link w:val="7"/>
    <w:qFormat/>
    <w:uiPriority w:val="99"/>
    <w:pPr>
      <w:widowControl w:val="0"/>
      <w:autoSpaceDE w:val="0"/>
      <w:autoSpaceDN w:val="0"/>
      <w:adjustRightInd w:val="0"/>
      <w:spacing w:before="108" w:after="108"/>
      <w:jc w:val="center"/>
      <w:outlineLvl w:val="0"/>
    </w:pPr>
    <w:rPr>
      <w:rFonts w:ascii="Times New Roman CYR" w:hAnsi="Times New Roman CYR" w:cs="Times New Roman CYR" w:eastAsiaTheme="minorEastAsia"/>
      <w:b/>
      <w:bCs/>
      <w:color w:val="26282F"/>
    </w:rPr>
  </w:style>
  <w:style w:type="paragraph" w:styleId="3">
    <w:name w:val="heading 3"/>
    <w:basedOn w:val="1"/>
    <w:next w:val="1"/>
    <w:link w:val="9"/>
    <w:semiHidden/>
    <w:unhideWhenUsed/>
    <w:qFormat/>
    <w:uiPriority w:val="9"/>
    <w:pPr>
      <w:keepNext/>
      <w:keepLines/>
      <w:spacing w:before="40"/>
      <w:outlineLvl w:val="2"/>
    </w:pPr>
    <w:rPr>
      <w:rFonts w:asciiTheme="majorHAnsi" w:hAnsiTheme="majorHAnsi" w:eastAsiaTheme="majorEastAsia" w:cstheme="majorBidi"/>
      <w:color w:val="203864" w:themeColor="accent1" w:themeShade="80"/>
    </w:rPr>
  </w:style>
  <w:style w:type="character" w:default="1" w:styleId="4">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6">
    <w:name w:val="Body Text 2"/>
    <w:basedOn w:val="1"/>
    <w:link w:val="12"/>
    <w:uiPriority w:val="99"/>
    <w:pPr>
      <w:widowControl w:val="0"/>
      <w:autoSpaceDE w:val="0"/>
      <w:autoSpaceDN w:val="0"/>
      <w:adjustRightInd w:val="0"/>
    </w:pPr>
    <w:rPr>
      <w:rFonts w:eastAsiaTheme="minorEastAsia"/>
      <w:szCs w:val="20"/>
    </w:rPr>
  </w:style>
  <w:style w:type="character" w:customStyle="1" w:styleId="7">
    <w:name w:val="Заголовок 1 Знак"/>
    <w:basedOn w:val="4"/>
    <w:link w:val="2"/>
    <w:qFormat/>
    <w:uiPriority w:val="99"/>
    <w:rPr>
      <w:rFonts w:ascii="Times New Roman CYR" w:hAnsi="Times New Roman CYR" w:cs="Times New Roman CYR" w:eastAsiaTheme="minorEastAsia"/>
      <w:b/>
      <w:bCs/>
      <w:color w:val="26282F"/>
      <w:sz w:val="24"/>
      <w:szCs w:val="24"/>
      <w:lang w:eastAsia="ru-RU"/>
    </w:rPr>
  </w:style>
  <w:style w:type="character" w:customStyle="1" w:styleId="8">
    <w:name w:val="Гипертекстовая ссылка"/>
    <w:basedOn w:val="4"/>
    <w:uiPriority w:val="99"/>
    <w:rPr>
      <w:rFonts w:cs="Times New Roman"/>
      <w:b/>
      <w:color w:val="106BBE"/>
    </w:rPr>
  </w:style>
  <w:style w:type="character" w:customStyle="1" w:styleId="9">
    <w:name w:val="Заголовок 3 Знак"/>
    <w:basedOn w:val="4"/>
    <w:link w:val="3"/>
    <w:semiHidden/>
    <w:qFormat/>
    <w:uiPriority w:val="9"/>
    <w:rPr>
      <w:rFonts w:asciiTheme="majorHAnsi" w:hAnsiTheme="majorHAnsi" w:eastAsiaTheme="majorEastAsia" w:cstheme="majorBidi"/>
      <w:color w:val="203864" w:themeColor="accent1" w:themeShade="80"/>
      <w:sz w:val="24"/>
      <w:szCs w:val="24"/>
      <w:lang w:eastAsia="ru-RU"/>
    </w:rPr>
  </w:style>
  <w:style w:type="paragraph" w:customStyle="1" w:styleId="10">
    <w:name w:val="Нормальный (таблица)"/>
    <w:basedOn w:val="1"/>
    <w:next w:val="1"/>
    <w:qFormat/>
    <w:uiPriority w:val="99"/>
    <w:pPr>
      <w:widowControl w:val="0"/>
      <w:autoSpaceDE w:val="0"/>
      <w:autoSpaceDN w:val="0"/>
      <w:adjustRightInd w:val="0"/>
      <w:jc w:val="both"/>
    </w:pPr>
    <w:rPr>
      <w:rFonts w:ascii="Times New Roman CYR" w:hAnsi="Times New Roman CYR" w:cs="Times New Roman CYR" w:eastAsiaTheme="minorEastAsia"/>
    </w:rPr>
  </w:style>
  <w:style w:type="paragraph" w:customStyle="1" w:styleId="11">
    <w:name w:val="Прижатый влево"/>
    <w:basedOn w:val="1"/>
    <w:next w:val="1"/>
    <w:uiPriority w:val="99"/>
    <w:pPr>
      <w:widowControl w:val="0"/>
      <w:autoSpaceDE w:val="0"/>
      <w:autoSpaceDN w:val="0"/>
      <w:adjustRightInd w:val="0"/>
    </w:pPr>
    <w:rPr>
      <w:rFonts w:ascii="Times New Roman CYR" w:hAnsi="Times New Roman CYR" w:cs="Times New Roman CYR" w:eastAsiaTheme="minorEastAsia"/>
    </w:rPr>
  </w:style>
  <w:style w:type="character" w:customStyle="1" w:styleId="12">
    <w:name w:val="Основной текст 2 Знак"/>
    <w:basedOn w:val="4"/>
    <w:link w:val="6"/>
    <w:uiPriority w:val="99"/>
    <w:rPr>
      <w:rFonts w:ascii="Times New Roman" w:hAnsi="Times New Roman" w:cs="Times New Roman" w:eastAsiaTheme="minorEastAsia"/>
      <w:sz w:val="24"/>
      <w:szCs w:val="20"/>
      <w:lang w:eastAsia="ru-RU"/>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9</Pages>
  <Words>3142</Words>
  <Characters>17914</Characters>
  <Lines>149</Lines>
  <Paragraphs>42</Paragraphs>
  <TotalTime>172</TotalTime>
  <ScaleCrop>false</ScaleCrop>
  <LinksUpToDate>false</LinksUpToDate>
  <CharactersWithSpaces>21014</CharactersWithSpaces>
  <Application>WPS Office_11.2.0.11417_F1E327BC-269C-435d-A152-05C5408002CA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2022-08-04T07:56:00Z</dcterms:created>
  <dc:creator>User</dc:creator>
  <cp:lastModifiedBy>NEW</cp:lastModifiedBy>
  <cp:lastPrinted>2022-12-02T08:27:25Z</cp:lastPrinted>
  <dcterms:modified xsi:type="dcterms:W3CDTF">2022-12-02T08:33:35Z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1049-11.2.0.11417</vt:lpwstr>
  </property>
  <property fmtid="{D5CDD505-2E9C-101B-9397-08002B2CF9AE}" pid="3" name="ICV">
    <vt:lpwstr>E7141A05859946C388E63F919336DE54</vt:lpwstr>
  </property>
</Properties>
</file>